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9"/>
        <w:gridCol w:w="3402"/>
        <w:gridCol w:w="2268"/>
        <w:gridCol w:w="1871"/>
      </w:tblGrid>
      <w:tr w:rsidR="00440E3B" w:rsidRPr="00010E16">
        <w:trPr>
          <w:cantSplit/>
          <w:trHeight w:hRule="exact" w:val="1701"/>
        </w:trPr>
        <w:tc>
          <w:tcPr>
            <w:tcW w:w="2869" w:type="dxa"/>
            <w:tcBorders>
              <w:top w:val="single" w:sz="6" w:space="0" w:color="auto"/>
              <w:left w:val="single" w:sz="6" w:space="0" w:color="auto"/>
            </w:tcBorders>
            <w:vAlign w:val="center"/>
          </w:tcPr>
          <w:p w:rsidR="00440E3B" w:rsidRPr="00010E16" w:rsidRDefault="00B121E3">
            <w:pPr>
              <w:jc w:val="center"/>
              <w:rPr>
                <w:rFonts w:ascii="Times New Roman" w:hAnsi="Times New Roman"/>
                <w:b/>
                <w:i w:val="0"/>
                <w:sz w:val="44"/>
                <w:szCs w:val="44"/>
              </w:rPr>
            </w:pPr>
            <w:r w:rsidRPr="00010E16">
              <w:rPr>
                <w:rFonts w:ascii="Times New Roman" w:hAnsi="Times New Roman"/>
                <w:b/>
                <w:i w:val="0"/>
                <w:sz w:val="44"/>
                <w:szCs w:val="44"/>
              </w:rPr>
              <w:t>HFT</w:t>
            </w:r>
          </w:p>
        </w:tc>
        <w:tc>
          <w:tcPr>
            <w:tcW w:w="7541" w:type="dxa"/>
            <w:gridSpan w:val="3"/>
            <w:tcBorders>
              <w:top w:val="single" w:sz="6" w:space="0" w:color="auto"/>
              <w:right w:val="single" w:sz="6" w:space="0" w:color="auto"/>
            </w:tcBorders>
            <w:vAlign w:val="center"/>
          </w:tcPr>
          <w:p w:rsidR="00440E3B" w:rsidRPr="00010E16" w:rsidRDefault="000156E8" w:rsidP="0040074D">
            <w:pPr>
              <w:pStyle w:val="Title"/>
              <w:rPr>
                <w:rFonts w:ascii="Times New Roman" w:hAnsi="Times New Roman"/>
              </w:rPr>
            </w:pPr>
            <w:r>
              <w:rPr>
                <w:rFonts w:ascii="Times New Roman" w:hAnsi="Times New Roman"/>
              </w:rPr>
              <w:t>HFT</w:t>
            </w:r>
            <w:r w:rsidR="00603D64" w:rsidRPr="00010E16">
              <w:rPr>
                <w:rFonts w:ascii="Times New Roman" w:hAnsi="Times New Roman"/>
              </w:rPr>
              <w:t xml:space="preserve"> </w:t>
            </w:r>
            <w:r w:rsidR="0040074D">
              <w:rPr>
                <w:rFonts w:ascii="Times New Roman" w:hAnsi="Times New Roman"/>
              </w:rPr>
              <w:t>Grounding Plan</w:t>
            </w:r>
            <w:r w:rsidR="00603D64" w:rsidRPr="00010E16">
              <w:rPr>
                <w:rFonts w:ascii="Times New Roman" w:hAnsi="Times New Roman"/>
              </w:rPr>
              <w:t xml:space="preserve"> </w:t>
            </w:r>
          </w:p>
        </w:tc>
      </w:tr>
      <w:tr w:rsidR="00440E3B" w:rsidRPr="00010E16">
        <w:trPr>
          <w:cantSplit/>
          <w:trHeight w:hRule="exact" w:val="400"/>
        </w:trPr>
        <w:tc>
          <w:tcPr>
            <w:tcW w:w="2869" w:type="dxa"/>
            <w:tcBorders>
              <w:left w:val="single" w:sz="6" w:space="0" w:color="auto"/>
              <w:bottom w:val="nil"/>
            </w:tcBorders>
            <w:vAlign w:val="center"/>
          </w:tcPr>
          <w:p w:rsidR="00440E3B" w:rsidRPr="00010E16" w:rsidRDefault="00B121E3">
            <w:pPr>
              <w:rPr>
                <w:rFonts w:ascii="Times New Roman" w:hAnsi="Times New Roman"/>
              </w:rPr>
            </w:pPr>
            <w:r w:rsidRPr="00010E16">
              <w:rPr>
                <w:rFonts w:ascii="Times New Roman" w:hAnsi="Times New Roman"/>
              </w:rPr>
              <w:t>HFT</w:t>
            </w:r>
            <w:r w:rsidR="00440E3B" w:rsidRPr="00010E16">
              <w:rPr>
                <w:rFonts w:ascii="Times New Roman" w:hAnsi="Times New Roman"/>
              </w:rPr>
              <w:t xml:space="preserve"> Project Document No: </w:t>
            </w:r>
          </w:p>
        </w:tc>
        <w:tc>
          <w:tcPr>
            <w:tcW w:w="3402" w:type="dxa"/>
            <w:tcBorders>
              <w:bottom w:val="nil"/>
            </w:tcBorders>
            <w:vAlign w:val="center"/>
          </w:tcPr>
          <w:p w:rsidR="00440E3B" w:rsidRPr="00010E16" w:rsidRDefault="00440E3B">
            <w:pPr>
              <w:rPr>
                <w:rFonts w:ascii="Times New Roman" w:hAnsi="Times New Roman"/>
              </w:rPr>
            </w:pPr>
            <w:r w:rsidRPr="00010E16">
              <w:rPr>
                <w:rFonts w:ascii="Times New Roman" w:hAnsi="Times New Roman"/>
              </w:rPr>
              <w:t xml:space="preserve">Institute Document No. </w:t>
            </w:r>
          </w:p>
        </w:tc>
        <w:tc>
          <w:tcPr>
            <w:tcW w:w="2268" w:type="dxa"/>
            <w:vAlign w:val="center"/>
          </w:tcPr>
          <w:p w:rsidR="00440E3B" w:rsidRPr="00010E16" w:rsidRDefault="00440E3B" w:rsidP="008340A7">
            <w:pPr>
              <w:rPr>
                <w:rFonts w:ascii="Times New Roman" w:hAnsi="Times New Roman"/>
              </w:rPr>
            </w:pPr>
            <w:r w:rsidRPr="00010E16">
              <w:rPr>
                <w:rFonts w:ascii="Times New Roman" w:hAnsi="Times New Roman"/>
              </w:rPr>
              <w:t>Created</w:t>
            </w:r>
            <w:r w:rsidRPr="00010E16">
              <w:rPr>
                <w:rStyle w:val="CommentReference"/>
                <w:rFonts w:ascii="Times New Roman" w:hAnsi="Times New Roman"/>
                <w:vanish/>
              </w:rPr>
              <w:t xml:space="preserve"> </w:t>
            </w:r>
            <w:r w:rsidRPr="00010E16">
              <w:rPr>
                <w:rFonts w:ascii="Times New Roman" w:hAnsi="Times New Roman"/>
              </w:rPr>
              <w:t xml:space="preserve">: </w:t>
            </w:r>
            <w:r w:rsidR="008340A7">
              <w:rPr>
                <w:rFonts w:ascii="Times New Roman" w:hAnsi="Times New Roman"/>
              </w:rPr>
              <w:t>Apr</w:t>
            </w:r>
            <w:r w:rsidR="00B121E3" w:rsidRPr="00010E16">
              <w:rPr>
                <w:rFonts w:ascii="Times New Roman" w:hAnsi="Times New Roman"/>
              </w:rPr>
              <w:t xml:space="preserve">. </w:t>
            </w:r>
            <w:r w:rsidR="008340A7">
              <w:rPr>
                <w:rFonts w:ascii="Times New Roman" w:hAnsi="Times New Roman"/>
              </w:rPr>
              <w:t>01</w:t>
            </w:r>
            <w:r w:rsidR="00B121E3" w:rsidRPr="00010E16">
              <w:rPr>
                <w:rFonts w:ascii="Times New Roman" w:hAnsi="Times New Roman"/>
              </w:rPr>
              <w:t>, 2010</w:t>
            </w:r>
          </w:p>
        </w:tc>
        <w:tc>
          <w:tcPr>
            <w:tcW w:w="1871" w:type="dxa"/>
            <w:tcBorders>
              <w:right w:val="single" w:sz="6" w:space="0" w:color="auto"/>
            </w:tcBorders>
            <w:vAlign w:val="center"/>
          </w:tcPr>
          <w:p w:rsidR="00440E3B" w:rsidRPr="00010E16" w:rsidRDefault="00440E3B">
            <w:pPr>
              <w:rPr>
                <w:rFonts w:ascii="Times New Roman" w:hAnsi="Times New Roman"/>
              </w:rPr>
            </w:pPr>
            <w:r w:rsidRPr="00010E16">
              <w:rPr>
                <w:rFonts w:ascii="Times New Roman" w:hAnsi="Times New Roman"/>
              </w:rPr>
              <w:t xml:space="preserve">Page: </w:t>
            </w:r>
            <w:r w:rsidRPr="00010E16">
              <w:rPr>
                <w:rFonts w:ascii="Times New Roman" w:hAnsi="Times New Roman"/>
                <w:b/>
                <w:i w:val="0"/>
                <w:noProof/>
              </w:rPr>
              <w:t>1 of</w:t>
            </w:r>
            <w:r w:rsidRPr="00010E16">
              <w:rPr>
                <w:rFonts w:ascii="Times New Roman" w:hAnsi="Times New Roman"/>
              </w:rPr>
              <w:t xml:space="preserve"> </w:t>
            </w:r>
            <w:fldSimple w:instr=" NUMPAGES  \* MERGEFORMAT ">
              <w:r w:rsidR="00072AED">
                <w:rPr>
                  <w:rFonts w:ascii="Times New Roman" w:hAnsi="Times New Roman"/>
                  <w:b/>
                  <w:i w:val="0"/>
                  <w:noProof/>
                </w:rPr>
                <w:t>14</w:t>
              </w:r>
            </w:fldSimple>
          </w:p>
        </w:tc>
      </w:tr>
      <w:tr w:rsidR="00440E3B" w:rsidRPr="00010E16">
        <w:trPr>
          <w:cantSplit/>
          <w:trHeight w:hRule="exact" w:val="703"/>
        </w:trPr>
        <w:tc>
          <w:tcPr>
            <w:tcW w:w="2869" w:type="dxa"/>
            <w:tcBorders>
              <w:top w:val="nil"/>
              <w:left w:val="single" w:sz="6" w:space="0" w:color="auto"/>
              <w:bottom w:val="single" w:sz="6" w:space="0" w:color="auto"/>
            </w:tcBorders>
            <w:vAlign w:val="center"/>
          </w:tcPr>
          <w:p w:rsidR="00440E3B" w:rsidRPr="00010E16" w:rsidRDefault="00B121E3">
            <w:pPr>
              <w:pStyle w:val="Doc"/>
              <w:rPr>
                <w:rFonts w:ascii="Times New Roman" w:hAnsi="Times New Roman"/>
              </w:rPr>
            </w:pPr>
            <w:r w:rsidRPr="00010E16">
              <w:rPr>
                <w:rFonts w:ascii="Times New Roman" w:hAnsi="Times New Roman"/>
              </w:rPr>
              <w:t>TBD</w:t>
            </w:r>
          </w:p>
        </w:tc>
        <w:tc>
          <w:tcPr>
            <w:tcW w:w="3402" w:type="dxa"/>
            <w:tcBorders>
              <w:top w:val="nil"/>
              <w:bottom w:val="single" w:sz="6" w:space="0" w:color="auto"/>
            </w:tcBorders>
            <w:vAlign w:val="center"/>
          </w:tcPr>
          <w:p w:rsidR="00440E3B" w:rsidRPr="00010E16" w:rsidRDefault="00395309">
            <w:pPr>
              <w:pStyle w:val="Ref"/>
              <w:jc w:val="center"/>
              <w:rPr>
                <w:rFonts w:ascii="Times New Roman" w:hAnsi="Times New Roman"/>
              </w:rPr>
            </w:pPr>
            <w:r w:rsidRPr="00010E16">
              <w:rPr>
                <w:rFonts w:ascii="Times New Roman" w:hAnsi="Times New Roman"/>
              </w:rPr>
              <w:fldChar w:fldCharType="begin">
                <w:ffData>
                  <w:name w:val="Text2"/>
                  <w:enabled/>
                  <w:calcOnExit w:val="0"/>
                  <w:textInput>
                    <w:maxLength w:val="35"/>
                  </w:textInput>
                </w:ffData>
              </w:fldChar>
            </w:r>
            <w:bookmarkStart w:id="0" w:name="Text2"/>
            <w:r w:rsidR="00440E3B" w:rsidRPr="00010E16">
              <w:rPr>
                <w:rFonts w:ascii="Times New Roman" w:hAnsi="Times New Roman"/>
              </w:rPr>
              <w:instrText xml:space="preserve"> FORMTEXT </w:instrText>
            </w:r>
            <w:r w:rsidRPr="00010E16">
              <w:rPr>
                <w:rFonts w:ascii="Times New Roman" w:hAnsi="Times New Roman"/>
              </w:rPr>
            </w:r>
            <w:r w:rsidRPr="00010E16">
              <w:rPr>
                <w:rFonts w:ascii="Times New Roman" w:hAnsi="Times New Roman"/>
              </w:rPr>
              <w:fldChar w:fldCharType="separate"/>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Pr="00010E16">
              <w:rPr>
                <w:rFonts w:ascii="Times New Roman" w:hAnsi="Times New Roman"/>
              </w:rPr>
              <w:fldChar w:fldCharType="end"/>
            </w:r>
            <w:bookmarkEnd w:id="0"/>
          </w:p>
        </w:tc>
        <w:tc>
          <w:tcPr>
            <w:tcW w:w="2268" w:type="dxa"/>
            <w:tcBorders>
              <w:bottom w:val="single" w:sz="6" w:space="0" w:color="auto"/>
            </w:tcBorders>
            <w:vAlign w:val="center"/>
          </w:tcPr>
          <w:p w:rsidR="00440E3B" w:rsidRPr="00010E16" w:rsidRDefault="00440E3B" w:rsidP="00536459">
            <w:pPr>
              <w:rPr>
                <w:rFonts w:ascii="Times New Roman" w:hAnsi="Times New Roman"/>
              </w:rPr>
            </w:pPr>
            <w:r w:rsidRPr="00010E16">
              <w:rPr>
                <w:rFonts w:ascii="Times New Roman" w:hAnsi="Times New Roman"/>
              </w:rPr>
              <w:t>Modified</w:t>
            </w:r>
            <w:r w:rsidRPr="00010E16">
              <w:rPr>
                <w:rStyle w:val="CommentReference"/>
                <w:rFonts w:ascii="Times New Roman" w:hAnsi="Times New Roman"/>
                <w:vanish/>
              </w:rPr>
              <w:t xml:space="preserve"> </w:t>
            </w:r>
            <w:r w:rsidRPr="00010E16">
              <w:rPr>
                <w:rFonts w:ascii="Times New Roman" w:hAnsi="Times New Roman"/>
              </w:rPr>
              <w:t xml:space="preserve">: </w:t>
            </w:r>
            <w:r w:rsidR="00536459">
              <w:rPr>
                <w:rFonts w:ascii="Times New Roman" w:hAnsi="Times New Roman"/>
                <w:b/>
                <w:i w:val="0"/>
                <w:noProof/>
                <w:sz w:val="20"/>
              </w:rPr>
              <w:t>20 October 2010</w:t>
            </w:r>
          </w:p>
        </w:tc>
        <w:tc>
          <w:tcPr>
            <w:tcW w:w="1871" w:type="dxa"/>
            <w:tcBorders>
              <w:bottom w:val="single" w:sz="6" w:space="0" w:color="auto"/>
              <w:right w:val="single" w:sz="6" w:space="0" w:color="auto"/>
            </w:tcBorders>
            <w:vAlign w:val="center"/>
          </w:tcPr>
          <w:p w:rsidR="00440E3B" w:rsidRPr="00010E16" w:rsidRDefault="00440E3B" w:rsidP="00A57A88">
            <w:pPr>
              <w:rPr>
                <w:rFonts w:ascii="Times New Roman" w:hAnsi="Times New Roman"/>
              </w:rPr>
            </w:pPr>
            <w:r w:rsidRPr="00010E16">
              <w:rPr>
                <w:rFonts w:ascii="Times New Roman" w:hAnsi="Times New Roman"/>
              </w:rPr>
              <w:t>Rev. No</w:t>
            </w:r>
            <w:r w:rsidRPr="00010E16">
              <w:rPr>
                <w:rStyle w:val="CommentReference"/>
                <w:rFonts w:ascii="Times New Roman" w:hAnsi="Times New Roman"/>
                <w:vanish/>
              </w:rPr>
              <w:t xml:space="preserve"> </w:t>
            </w:r>
            <w:r w:rsidRPr="00010E16">
              <w:rPr>
                <w:rFonts w:ascii="Times New Roman" w:hAnsi="Times New Roman"/>
              </w:rPr>
              <w:t xml:space="preserve">.: </w:t>
            </w:r>
            <w:r w:rsidR="00A57A88">
              <w:rPr>
                <w:rFonts w:ascii="Times New Roman" w:hAnsi="Times New Roman"/>
              </w:rPr>
              <w:t>1</w:t>
            </w:r>
          </w:p>
        </w:tc>
      </w:tr>
    </w:tbl>
    <w:p w:rsidR="00440E3B" w:rsidRPr="00010E16" w:rsidRDefault="00440E3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1469"/>
        <w:gridCol w:w="533"/>
        <w:gridCol w:w="936"/>
        <w:gridCol w:w="2535"/>
        <w:gridCol w:w="3426"/>
        <w:gridCol w:w="45"/>
      </w:tblGrid>
      <w:tr w:rsidR="00440E3B" w:rsidRPr="00010E16">
        <w:trPr>
          <w:cantSplit/>
          <w:trHeight w:val="6722"/>
        </w:trPr>
        <w:tc>
          <w:tcPr>
            <w:tcW w:w="10413" w:type="dxa"/>
            <w:gridSpan w:val="7"/>
            <w:tcBorders>
              <w:bottom w:val="single" w:sz="4" w:space="0" w:color="auto"/>
            </w:tcBorders>
          </w:tcPr>
          <w:p w:rsidR="00440E3B" w:rsidRPr="00010E16" w:rsidRDefault="00440E3B">
            <w:pPr>
              <w:pStyle w:val="Title"/>
              <w:rPr>
                <w:rFonts w:ascii="Times New Roman" w:hAnsi="Times New Roman"/>
                <w:sz w:val="28"/>
              </w:rPr>
            </w:pPr>
          </w:p>
          <w:p w:rsidR="00440E3B" w:rsidRDefault="00231AE9">
            <w:pPr>
              <w:pStyle w:val="Title"/>
              <w:rPr>
                <w:rFonts w:ascii="Times New Roman" w:hAnsi="Times New Roman"/>
              </w:rPr>
            </w:pPr>
            <w:r>
              <w:rPr>
                <w:rFonts w:ascii="Times New Roman" w:hAnsi="Times New Roman"/>
              </w:rPr>
              <w:t>HFT</w:t>
            </w:r>
            <w:r w:rsidR="00B121E3" w:rsidRPr="00010E16">
              <w:rPr>
                <w:rFonts w:ascii="Times New Roman" w:hAnsi="Times New Roman"/>
              </w:rPr>
              <w:t xml:space="preserve"> </w:t>
            </w:r>
            <w:r w:rsidR="0064762E" w:rsidRPr="00010E16">
              <w:rPr>
                <w:rFonts w:ascii="Times New Roman" w:hAnsi="Times New Roman"/>
              </w:rPr>
              <w:t>D</w:t>
            </w:r>
            <w:r w:rsidR="00B121E3" w:rsidRPr="00010E16">
              <w:rPr>
                <w:rFonts w:ascii="Times New Roman" w:hAnsi="Times New Roman"/>
              </w:rPr>
              <w:t>etector</w:t>
            </w:r>
            <w:r w:rsidR="003D5583" w:rsidRPr="00010E16">
              <w:rPr>
                <w:rFonts w:ascii="Times New Roman" w:hAnsi="Times New Roman"/>
              </w:rPr>
              <w:t xml:space="preserve"> </w:t>
            </w:r>
            <w:r w:rsidR="008340A7">
              <w:rPr>
                <w:rFonts w:ascii="Times New Roman" w:hAnsi="Times New Roman"/>
              </w:rPr>
              <w:t>Grounding Plan</w:t>
            </w:r>
          </w:p>
          <w:p w:rsidR="00440E3B" w:rsidRPr="00010E16" w:rsidRDefault="00440E3B">
            <w:pPr>
              <w:pStyle w:val="Subtitle"/>
              <w:rPr>
                <w:rFonts w:ascii="Times New Roman" w:hAnsi="Times New Roman"/>
              </w:rPr>
            </w:pPr>
          </w:p>
          <w:p w:rsidR="00440E3B" w:rsidRPr="00010E16" w:rsidRDefault="003D5583" w:rsidP="00231AE9">
            <w:pPr>
              <w:pStyle w:val="Ref"/>
              <w:jc w:val="center"/>
              <w:rPr>
                <w:rFonts w:ascii="Times New Roman" w:hAnsi="Times New Roman"/>
              </w:rPr>
            </w:pPr>
            <w:r w:rsidRPr="00010E16">
              <w:rPr>
                <w:rFonts w:ascii="Times New Roman" w:hAnsi="Times New Roman"/>
              </w:rPr>
              <w:t xml:space="preserve">This document </w:t>
            </w:r>
            <w:r w:rsidR="00B121E3" w:rsidRPr="00010E16">
              <w:rPr>
                <w:rFonts w:ascii="Times New Roman" w:hAnsi="Times New Roman"/>
              </w:rPr>
              <w:t>describes in a limited way the</w:t>
            </w:r>
            <w:r w:rsidR="00955141" w:rsidRPr="00010E16">
              <w:rPr>
                <w:rFonts w:ascii="Times New Roman" w:hAnsi="Times New Roman"/>
              </w:rPr>
              <w:t xml:space="preserve"> detector design and </w:t>
            </w:r>
            <w:r w:rsidR="008340A7">
              <w:rPr>
                <w:rFonts w:ascii="Times New Roman" w:hAnsi="Times New Roman"/>
              </w:rPr>
              <w:t>grounding plans</w:t>
            </w:r>
            <w:r w:rsidR="00955141" w:rsidRPr="00010E16">
              <w:rPr>
                <w:rFonts w:ascii="Times New Roman" w:hAnsi="Times New Roman"/>
              </w:rPr>
              <w:t xml:space="preserve"> as it pertains to the</w:t>
            </w:r>
            <w:r w:rsidR="00B121E3" w:rsidRPr="00010E16">
              <w:rPr>
                <w:rFonts w:ascii="Times New Roman" w:hAnsi="Times New Roman"/>
              </w:rPr>
              <w:t xml:space="preserve"> HFT Detector</w:t>
            </w:r>
            <w:r w:rsidR="00231AE9">
              <w:rPr>
                <w:rFonts w:ascii="Times New Roman" w:hAnsi="Times New Roman"/>
              </w:rPr>
              <w:t xml:space="preserve"> upgrade to the inner detector region at STAR</w:t>
            </w:r>
            <w:r w:rsidR="00046E02" w:rsidRPr="00010E16">
              <w:rPr>
                <w:rFonts w:ascii="Times New Roman" w:hAnsi="Times New Roman"/>
              </w:rPr>
              <w:t>.</w:t>
            </w:r>
            <w:r w:rsidR="00A0765B" w:rsidRPr="00010E16">
              <w:rPr>
                <w:rFonts w:ascii="Times New Roman" w:hAnsi="Times New Roman"/>
              </w:rPr>
              <w:t xml:space="preserve">  </w:t>
            </w:r>
          </w:p>
        </w:tc>
      </w:tr>
      <w:tr w:rsidR="00440E3B" w:rsidRPr="00010E16">
        <w:trPr>
          <w:trHeight w:hRule="exact" w:val="1534"/>
        </w:trPr>
        <w:tc>
          <w:tcPr>
            <w:tcW w:w="3471" w:type="dxa"/>
            <w:gridSpan w:val="3"/>
          </w:tcPr>
          <w:p w:rsidR="00440E3B" w:rsidRPr="00010E16" w:rsidRDefault="00440E3B">
            <w:pPr>
              <w:jc w:val="center"/>
              <w:rPr>
                <w:rFonts w:ascii="Times New Roman" w:hAnsi="Times New Roman"/>
              </w:rPr>
            </w:pPr>
            <w:r w:rsidRPr="00010E16">
              <w:rPr>
                <w:rFonts w:ascii="Times New Roman" w:hAnsi="Times New Roman"/>
              </w:rPr>
              <w:t>Prepared by:</w:t>
            </w:r>
          </w:p>
          <w:p w:rsidR="00440E3B" w:rsidRPr="00010E16" w:rsidRDefault="00B121E3">
            <w:pPr>
              <w:pStyle w:val="Ref"/>
              <w:rPr>
                <w:rFonts w:ascii="Times New Roman" w:hAnsi="Times New Roman"/>
                <w:lang w:val="it-IT"/>
              </w:rPr>
            </w:pPr>
            <w:r w:rsidRPr="00010E16">
              <w:rPr>
                <w:rFonts w:ascii="Times New Roman" w:hAnsi="Times New Roman"/>
                <w:lang w:val="it-IT"/>
              </w:rPr>
              <w:t>L. Greiner</w:t>
            </w:r>
            <w:r w:rsidR="00F25A2D">
              <w:rPr>
                <w:rFonts w:ascii="Times New Roman" w:hAnsi="Times New Roman"/>
                <w:lang w:val="it-IT"/>
              </w:rPr>
              <w:t>, M. Szelezniak</w:t>
            </w:r>
          </w:p>
        </w:tc>
        <w:tc>
          <w:tcPr>
            <w:tcW w:w="3471" w:type="dxa"/>
            <w:gridSpan w:val="2"/>
          </w:tcPr>
          <w:p w:rsidR="00440E3B" w:rsidRPr="00010E16" w:rsidRDefault="00440E3B">
            <w:pPr>
              <w:jc w:val="center"/>
              <w:rPr>
                <w:rFonts w:ascii="Times New Roman" w:hAnsi="Times New Roman"/>
              </w:rPr>
            </w:pPr>
            <w:r w:rsidRPr="00010E16">
              <w:rPr>
                <w:rFonts w:ascii="Times New Roman" w:hAnsi="Times New Roman"/>
              </w:rPr>
              <w:t>Checked by:</w:t>
            </w:r>
          </w:p>
          <w:p w:rsidR="00440E3B" w:rsidRPr="00010E16" w:rsidRDefault="00395309">
            <w:pPr>
              <w:pStyle w:val="Ref"/>
              <w:rPr>
                <w:rFonts w:ascii="Times New Roman" w:hAnsi="Times New Roman"/>
              </w:rPr>
            </w:pPr>
            <w:r w:rsidRPr="00010E16">
              <w:rPr>
                <w:rFonts w:ascii="Times New Roman" w:hAnsi="Times New Roman"/>
              </w:rPr>
              <w:fldChar w:fldCharType="begin">
                <w:ffData>
                  <w:name w:val="Text12"/>
                  <w:enabled/>
                  <w:calcOnExit w:val="0"/>
                  <w:textInput/>
                </w:ffData>
              </w:fldChar>
            </w:r>
            <w:bookmarkStart w:id="1" w:name="Text12"/>
            <w:r w:rsidR="00440E3B" w:rsidRPr="00010E16">
              <w:rPr>
                <w:rFonts w:ascii="Times New Roman" w:hAnsi="Times New Roman"/>
              </w:rPr>
              <w:instrText xml:space="preserve"> FORMTEXT </w:instrText>
            </w:r>
            <w:r w:rsidRPr="00010E16">
              <w:rPr>
                <w:rFonts w:ascii="Times New Roman" w:hAnsi="Times New Roman"/>
              </w:rPr>
            </w:r>
            <w:r w:rsidRPr="00010E16">
              <w:rPr>
                <w:rFonts w:ascii="Times New Roman" w:hAnsi="Times New Roman"/>
              </w:rPr>
              <w:fldChar w:fldCharType="separate"/>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Pr="00010E16">
              <w:rPr>
                <w:rFonts w:ascii="Times New Roman" w:hAnsi="Times New Roman"/>
              </w:rPr>
              <w:fldChar w:fldCharType="end"/>
            </w:r>
            <w:bookmarkEnd w:id="1"/>
          </w:p>
        </w:tc>
        <w:tc>
          <w:tcPr>
            <w:tcW w:w="3471" w:type="dxa"/>
            <w:gridSpan w:val="2"/>
          </w:tcPr>
          <w:p w:rsidR="00440E3B" w:rsidRPr="00010E16" w:rsidRDefault="00440E3B">
            <w:pPr>
              <w:jc w:val="center"/>
              <w:rPr>
                <w:rFonts w:ascii="Times New Roman" w:hAnsi="Times New Roman"/>
              </w:rPr>
            </w:pPr>
            <w:r w:rsidRPr="00010E16">
              <w:rPr>
                <w:rFonts w:ascii="Times New Roman" w:hAnsi="Times New Roman"/>
              </w:rPr>
              <w:t>Approved by:</w:t>
            </w:r>
          </w:p>
          <w:p w:rsidR="00440E3B" w:rsidRPr="00010E16" w:rsidRDefault="00395309">
            <w:pPr>
              <w:pStyle w:val="Ref"/>
              <w:rPr>
                <w:rFonts w:ascii="Times New Roman" w:hAnsi="Times New Roman"/>
              </w:rPr>
            </w:pPr>
            <w:r w:rsidRPr="00010E16">
              <w:rPr>
                <w:rFonts w:ascii="Times New Roman" w:hAnsi="Times New Roman"/>
              </w:rPr>
              <w:fldChar w:fldCharType="begin">
                <w:ffData>
                  <w:name w:val="Text13"/>
                  <w:enabled/>
                  <w:calcOnExit w:val="0"/>
                  <w:textInput/>
                </w:ffData>
              </w:fldChar>
            </w:r>
            <w:bookmarkStart w:id="2" w:name="Text13"/>
            <w:r w:rsidR="00440E3B" w:rsidRPr="00010E16">
              <w:rPr>
                <w:rFonts w:ascii="Times New Roman" w:hAnsi="Times New Roman"/>
              </w:rPr>
              <w:instrText xml:space="preserve"> FORMTEXT </w:instrText>
            </w:r>
            <w:r w:rsidRPr="00010E16">
              <w:rPr>
                <w:rFonts w:ascii="Times New Roman" w:hAnsi="Times New Roman"/>
              </w:rPr>
            </w:r>
            <w:r w:rsidRPr="00010E16">
              <w:rPr>
                <w:rFonts w:ascii="Times New Roman" w:hAnsi="Times New Roman"/>
              </w:rPr>
              <w:fldChar w:fldCharType="separate"/>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Pr="00010E16">
              <w:rPr>
                <w:rFonts w:ascii="Times New Roman" w:hAnsi="Times New Roman"/>
              </w:rPr>
              <w:fldChar w:fldCharType="end"/>
            </w:r>
            <w:bookmarkEnd w:id="2"/>
          </w:p>
        </w:tc>
      </w:tr>
      <w:tr w:rsidR="00440E3B" w:rsidRPr="00010E16">
        <w:trPr>
          <w:cantSplit/>
          <w:trHeight w:hRule="exact" w:val="2872"/>
        </w:trPr>
        <w:tc>
          <w:tcPr>
            <w:tcW w:w="10413" w:type="dxa"/>
            <w:gridSpan w:val="7"/>
          </w:tcPr>
          <w:p w:rsidR="00440E3B" w:rsidRPr="00010E16" w:rsidRDefault="00440E3B">
            <w:pPr>
              <w:pStyle w:val="Subtitle"/>
              <w:rPr>
                <w:rFonts w:ascii="Times New Roman" w:hAnsi="Times New Roman"/>
              </w:rPr>
            </w:pPr>
            <w:r w:rsidRPr="00010E16">
              <w:rPr>
                <w:rFonts w:ascii="Times New Roman" w:hAnsi="Times New Roman"/>
              </w:rPr>
              <w:lastRenderedPageBreak/>
              <w:t>Distribution List</w:t>
            </w:r>
            <w:r w:rsidR="00395309" w:rsidRPr="00010E16">
              <w:rPr>
                <w:rFonts w:ascii="Times New Roman" w:hAnsi="Times New Roman"/>
              </w:rPr>
              <w:fldChar w:fldCharType="begin">
                <w:ffData>
                  <w:name w:val="Text14"/>
                  <w:enabled/>
                  <w:calcOnExit w:val="0"/>
                  <w:textInput/>
                </w:ffData>
              </w:fldChar>
            </w:r>
            <w:bookmarkStart w:id="3" w:name="Text14"/>
            <w:r w:rsidRPr="00010E16">
              <w:rPr>
                <w:rFonts w:ascii="Times New Roman" w:hAnsi="Times New Roman"/>
              </w:rPr>
              <w:instrText xml:space="preserve"> FORMTEXT </w:instrText>
            </w:r>
            <w:r w:rsidR="00395309" w:rsidRPr="00010E16">
              <w:rPr>
                <w:rFonts w:ascii="Times New Roman" w:hAnsi="Times New Roman"/>
              </w:rPr>
            </w:r>
            <w:r w:rsidR="00395309" w:rsidRPr="00010E16">
              <w:rPr>
                <w:rFonts w:ascii="Times New Roman" w:hAnsi="Times New Roman"/>
              </w:rPr>
              <w:fldChar w:fldCharType="separate"/>
            </w:r>
            <w:r w:rsidRPr="00010E16">
              <w:rPr>
                <w:rFonts w:ascii="Times New Roman" w:hAnsi="Times New Roman"/>
              </w:rPr>
              <w:t> </w:t>
            </w:r>
            <w:r w:rsidRPr="00010E16">
              <w:rPr>
                <w:rFonts w:ascii="Times New Roman" w:hAnsi="Times New Roman"/>
              </w:rPr>
              <w:t> </w:t>
            </w:r>
            <w:r w:rsidRPr="00010E16">
              <w:rPr>
                <w:rFonts w:ascii="Times New Roman" w:hAnsi="Times New Roman"/>
              </w:rPr>
              <w:t> </w:t>
            </w:r>
            <w:r w:rsidRPr="00010E16">
              <w:rPr>
                <w:rFonts w:ascii="Times New Roman" w:hAnsi="Times New Roman"/>
              </w:rPr>
              <w:t> </w:t>
            </w:r>
            <w:r w:rsidRPr="00010E16">
              <w:rPr>
                <w:rFonts w:ascii="Times New Roman" w:hAnsi="Times New Roman"/>
              </w:rPr>
              <w:t> </w:t>
            </w:r>
            <w:r w:rsidR="00395309" w:rsidRPr="00010E16">
              <w:rPr>
                <w:rFonts w:ascii="Times New Roman" w:hAnsi="Times New Roman"/>
              </w:rPr>
              <w:fldChar w:fldCharType="end"/>
            </w:r>
            <w:bookmarkEnd w:id="3"/>
          </w:p>
          <w:p w:rsidR="003D5583" w:rsidRPr="00010E16" w:rsidRDefault="00B121E3" w:rsidP="00B121E3">
            <w:pPr>
              <w:pStyle w:val="Subtitle"/>
              <w:rPr>
                <w:rFonts w:ascii="Times New Roman" w:hAnsi="Times New Roman"/>
              </w:rPr>
            </w:pPr>
            <w:r w:rsidRPr="00010E16">
              <w:rPr>
                <w:rFonts w:ascii="Times New Roman" w:hAnsi="Times New Roman"/>
              </w:rPr>
              <w:t>HFT</w:t>
            </w:r>
            <w:r w:rsidR="003D5583" w:rsidRPr="00010E16">
              <w:rPr>
                <w:rFonts w:ascii="Times New Roman" w:hAnsi="Times New Roman"/>
              </w:rPr>
              <w:t xml:space="preserve"> Collaboration</w:t>
            </w:r>
          </w:p>
        </w:tc>
      </w:tr>
      <w:tr w:rsidR="00440E3B" w:rsidRPr="00010E16">
        <w:trPr>
          <w:gridAfter w:val="1"/>
          <w:wAfter w:w="45" w:type="dxa"/>
          <w:cantSplit/>
          <w:trHeight w:val="567"/>
        </w:trPr>
        <w:tc>
          <w:tcPr>
            <w:tcW w:w="10368" w:type="dxa"/>
            <w:gridSpan w:val="6"/>
            <w:vAlign w:val="center"/>
          </w:tcPr>
          <w:p w:rsidR="00440E3B" w:rsidRPr="00010E16" w:rsidRDefault="00440E3B">
            <w:pPr>
              <w:pStyle w:val="TableT"/>
              <w:rPr>
                <w:rFonts w:ascii="Times New Roman" w:hAnsi="Times New Roman"/>
                <w:sz w:val="22"/>
              </w:rPr>
            </w:pPr>
            <w:r w:rsidRPr="00010E16">
              <w:rPr>
                <w:rFonts w:ascii="Times New Roman" w:hAnsi="Times New Roman"/>
              </w:rPr>
              <w:t>History of Changes</w:t>
            </w:r>
          </w:p>
        </w:tc>
      </w:tr>
      <w:tr w:rsidR="00440E3B" w:rsidRPr="00010E16">
        <w:trPr>
          <w:gridAfter w:val="1"/>
          <w:wAfter w:w="45" w:type="dxa"/>
          <w:trHeight w:val="593"/>
        </w:trPr>
        <w:tc>
          <w:tcPr>
            <w:tcW w:w="1469" w:type="dxa"/>
            <w:vAlign w:val="center"/>
          </w:tcPr>
          <w:p w:rsidR="00440E3B" w:rsidRPr="00010E16" w:rsidRDefault="00440E3B">
            <w:pPr>
              <w:pStyle w:val="CellHeading"/>
              <w:rPr>
                <w:rFonts w:ascii="Times New Roman" w:hAnsi="Times New Roman"/>
              </w:rPr>
            </w:pPr>
            <w:r w:rsidRPr="00010E16">
              <w:rPr>
                <w:rFonts w:ascii="Times New Roman" w:hAnsi="Times New Roman"/>
              </w:rPr>
              <w:t>Rev. No.</w:t>
            </w:r>
          </w:p>
        </w:tc>
        <w:tc>
          <w:tcPr>
            <w:tcW w:w="1469" w:type="dxa"/>
            <w:vAlign w:val="center"/>
          </w:tcPr>
          <w:p w:rsidR="00440E3B" w:rsidRPr="00010E16" w:rsidRDefault="00440E3B">
            <w:pPr>
              <w:pStyle w:val="CellHeading"/>
              <w:rPr>
                <w:rFonts w:ascii="Times New Roman" w:hAnsi="Times New Roman"/>
              </w:rPr>
            </w:pPr>
            <w:r w:rsidRPr="00010E16">
              <w:rPr>
                <w:rFonts w:ascii="Times New Roman" w:hAnsi="Times New Roman"/>
              </w:rPr>
              <w:t>Date</w:t>
            </w:r>
          </w:p>
        </w:tc>
        <w:tc>
          <w:tcPr>
            <w:tcW w:w="1469" w:type="dxa"/>
            <w:gridSpan w:val="2"/>
            <w:vAlign w:val="center"/>
          </w:tcPr>
          <w:p w:rsidR="00440E3B" w:rsidRPr="00010E16" w:rsidRDefault="00440E3B">
            <w:pPr>
              <w:pStyle w:val="CellHeading"/>
              <w:rPr>
                <w:rFonts w:ascii="Times New Roman" w:hAnsi="Times New Roman"/>
              </w:rPr>
            </w:pPr>
            <w:r w:rsidRPr="00010E16">
              <w:rPr>
                <w:rFonts w:ascii="Times New Roman" w:hAnsi="Times New Roman"/>
              </w:rPr>
              <w:t>Pages</w:t>
            </w:r>
          </w:p>
        </w:tc>
        <w:tc>
          <w:tcPr>
            <w:tcW w:w="5961" w:type="dxa"/>
            <w:gridSpan w:val="2"/>
            <w:vAlign w:val="center"/>
          </w:tcPr>
          <w:p w:rsidR="00440E3B" w:rsidRPr="00010E16" w:rsidRDefault="00440E3B">
            <w:pPr>
              <w:pStyle w:val="CellHeading"/>
              <w:rPr>
                <w:rFonts w:ascii="Times New Roman" w:hAnsi="Times New Roman"/>
              </w:rPr>
            </w:pPr>
            <w:r w:rsidRPr="00010E16">
              <w:rPr>
                <w:rFonts w:ascii="Times New Roman" w:hAnsi="Times New Roman"/>
              </w:rPr>
              <w:t>Description of changes</w:t>
            </w:r>
          </w:p>
        </w:tc>
      </w:tr>
      <w:tr w:rsidR="00440E3B" w:rsidRPr="00010E16">
        <w:trPr>
          <w:gridAfter w:val="1"/>
          <w:wAfter w:w="45" w:type="dxa"/>
          <w:trHeight w:val="12567"/>
        </w:trPr>
        <w:tc>
          <w:tcPr>
            <w:tcW w:w="1469" w:type="dxa"/>
          </w:tcPr>
          <w:p w:rsidR="00440E3B" w:rsidRPr="00010E16" w:rsidRDefault="00247481">
            <w:pPr>
              <w:pStyle w:val="CellBody"/>
              <w:rPr>
                <w:rFonts w:ascii="Times New Roman" w:hAnsi="Times New Roman"/>
              </w:rPr>
            </w:pPr>
            <w:r w:rsidRPr="00010E16">
              <w:rPr>
                <w:rFonts w:ascii="Times New Roman" w:hAnsi="Times New Roman"/>
              </w:rPr>
              <w:lastRenderedPageBreak/>
              <w:t>1</w:t>
            </w:r>
          </w:p>
          <w:p w:rsidR="003D5583" w:rsidRPr="00010E16" w:rsidRDefault="003D5583">
            <w:pPr>
              <w:pStyle w:val="CellBody"/>
              <w:rPr>
                <w:rFonts w:ascii="Times New Roman" w:hAnsi="Times New Roman"/>
              </w:rPr>
            </w:pPr>
          </w:p>
        </w:tc>
        <w:tc>
          <w:tcPr>
            <w:tcW w:w="1469" w:type="dxa"/>
          </w:tcPr>
          <w:p w:rsidR="00440E3B" w:rsidRPr="00010E16" w:rsidRDefault="00CC6D84">
            <w:pPr>
              <w:pStyle w:val="CellBody"/>
              <w:rPr>
                <w:rFonts w:ascii="Times New Roman" w:hAnsi="Times New Roman"/>
              </w:rPr>
            </w:pPr>
            <w:r>
              <w:rPr>
                <w:rFonts w:ascii="Times New Roman" w:hAnsi="Times New Roman"/>
              </w:rPr>
              <w:t>March</w:t>
            </w:r>
            <w:r w:rsidR="00B121E3" w:rsidRPr="00010E16">
              <w:rPr>
                <w:rFonts w:ascii="Times New Roman" w:hAnsi="Times New Roman"/>
              </w:rPr>
              <w:t xml:space="preserve"> 2010</w:t>
            </w:r>
          </w:p>
          <w:p w:rsidR="003D5583" w:rsidRPr="00010E16" w:rsidRDefault="00DF0CA1">
            <w:pPr>
              <w:pStyle w:val="CellBody"/>
              <w:rPr>
                <w:rFonts w:ascii="Times New Roman" w:hAnsi="Times New Roman"/>
              </w:rPr>
            </w:pPr>
            <w:r>
              <w:rPr>
                <w:rFonts w:ascii="Times New Roman" w:hAnsi="Times New Roman"/>
              </w:rPr>
              <w:t>October 2010</w:t>
            </w:r>
          </w:p>
        </w:tc>
        <w:tc>
          <w:tcPr>
            <w:tcW w:w="1469" w:type="dxa"/>
            <w:gridSpan w:val="2"/>
          </w:tcPr>
          <w:p w:rsidR="00440E3B" w:rsidRPr="00010E16" w:rsidRDefault="00395309">
            <w:pPr>
              <w:pStyle w:val="CellBody"/>
              <w:rPr>
                <w:rFonts w:ascii="Times New Roman" w:hAnsi="Times New Roman"/>
              </w:rPr>
            </w:pPr>
            <w:r w:rsidRPr="00010E16">
              <w:rPr>
                <w:rFonts w:ascii="Times New Roman" w:hAnsi="Times New Roman"/>
              </w:rPr>
              <w:fldChar w:fldCharType="begin">
                <w:ffData>
                  <w:name w:val="Text40"/>
                  <w:enabled/>
                  <w:calcOnExit w:val="0"/>
                  <w:textInput/>
                </w:ffData>
              </w:fldChar>
            </w:r>
            <w:bookmarkStart w:id="4" w:name="Text40"/>
            <w:r w:rsidR="00440E3B" w:rsidRPr="00010E16">
              <w:rPr>
                <w:rFonts w:ascii="Times New Roman" w:hAnsi="Times New Roman"/>
              </w:rPr>
              <w:instrText xml:space="preserve"> FORMTEXT </w:instrText>
            </w:r>
            <w:r w:rsidRPr="00010E16">
              <w:rPr>
                <w:rFonts w:ascii="Times New Roman" w:hAnsi="Times New Roman"/>
              </w:rPr>
            </w:r>
            <w:r w:rsidRPr="00010E16">
              <w:rPr>
                <w:rFonts w:ascii="Times New Roman" w:hAnsi="Times New Roman"/>
              </w:rPr>
              <w:fldChar w:fldCharType="separate"/>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00440E3B" w:rsidRPr="00010E16">
              <w:rPr>
                <w:rFonts w:ascii="Times New Roman" w:hAnsi="Times New Roman"/>
              </w:rPr>
              <w:t> </w:t>
            </w:r>
            <w:r w:rsidRPr="00010E16">
              <w:rPr>
                <w:rFonts w:ascii="Times New Roman" w:hAnsi="Times New Roman"/>
              </w:rPr>
              <w:fldChar w:fldCharType="end"/>
            </w:r>
            <w:bookmarkEnd w:id="4"/>
          </w:p>
          <w:p w:rsidR="00657416" w:rsidRPr="00010E16" w:rsidRDefault="00657416">
            <w:pPr>
              <w:pStyle w:val="CellBody"/>
              <w:rPr>
                <w:rFonts w:ascii="Times New Roman" w:hAnsi="Times New Roman"/>
              </w:rPr>
            </w:pPr>
          </w:p>
        </w:tc>
        <w:tc>
          <w:tcPr>
            <w:tcW w:w="5961" w:type="dxa"/>
            <w:gridSpan w:val="2"/>
          </w:tcPr>
          <w:p w:rsidR="00440E3B" w:rsidRPr="00010E16" w:rsidRDefault="00247481">
            <w:pPr>
              <w:pStyle w:val="CellBody"/>
              <w:rPr>
                <w:rFonts w:ascii="Times New Roman" w:hAnsi="Times New Roman"/>
              </w:rPr>
            </w:pPr>
            <w:r w:rsidRPr="00010E16">
              <w:rPr>
                <w:rFonts w:ascii="Times New Roman" w:hAnsi="Times New Roman"/>
              </w:rPr>
              <w:t>FDR original</w:t>
            </w:r>
          </w:p>
          <w:p w:rsidR="003D5583" w:rsidRPr="00010E16" w:rsidRDefault="00DF0CA1">
            <w:pPr>
              <w:pStyle w:val="CellBody"/>
              <w:rPr>
                <w:rFonts w:ascii="Times New Roman" w:hAnsi="Times New Roman"/>
              </w:rPr>
            </w:pPr>
            <w:r>
              <w:rPr>
                <w:rFonts w:ascii="Times New Roman" w:hAnsi="Times New Roman"/>
              </w:rPr>
              <w:t>Update for whole HFT</w:t>
            </w:r>
          </w:p>
        </w:tc>
      </w:tr>
    </w:tbl>
    <w:p w:rsidR="00440E3B" w:rsidRPr="00010E16" w:rsidRDefault="00440E3B">
      <w:pPr>
        <w:pStyle w:val="TableT"/>
        <w:jc w:val="left"/>
        <w:rPr>
          <w:rFonts w:ascii="Times New Roman" w:hAnsi="Times New Roman"/>
        </w:rPr>
      </w:pPr>
    </w:p>
    <w:p w:rsidR="00CE1B71" w:rsidRPr="00010E16" w:rsidRDefault="00CE1B71">
      <w:pPr>
        <w:pStyle w:val="TableT"/>
        <w:rPr>
          <w:rFonts w:ascii="Times New Roman" w:hAnsi="Times New Roman"/>
        </w:rPr>
      </w:pPr>
    </w:p>
    <w:p w:rsidR="00CE1B71" w:rsidRPr="00010E16" w:rsidRDefault="00CE1B71">
      <w:pPr>
        <w:pStyle w:val="TableT"/>
        <w:rPr>
          <w:rFonts w:ascii="Times New Roman" w:hAnsi="Times New Roman"/>
        </w:rPr>
      </w:pPr>
    </w:p>
    <w:p w:rsidR="00440E3B" w:rsidRPr="00010E16" w:rsidRDefault="00440E3B">
      <w:pPr>
        <w:pStyle w:val="TableT"/>
        <w:rPr>
          <w:rFonts w:ascii="Times New Roman" w:hAnsi="Times New Roman"/>
        </w:rPr>
      </w:pPr>
      <w:r w:rsidRPr="00010E16">
        <w:rPr>
          <w:rFonts w:ascii="Times New Roman" w:hAnsi="Times New Roman"/>
        </w:rPr>
        <w:t>Table of Contents</w:t>
      </w:r>
    </w:p>
    <w:p w:rsidR="00440E3B" w:rsidRPr="00010E16" w:rsidRDefault="00440E3B">
      <w:pPr>
        <w:pStyle w:val="TableT"/>
        <w:rPr>
          <w:rFonts w:ascii="Times New Roman" w:hAnsi="Times New Roman"/>
        </w:rPr>
      </w:pPr>
    </w:p>
    <w:p w:rsidR="00E90C01" w:rsidRDefault="00395309">
      <w:pPr>
        <w:pStyle w:val="TOC1"/>
        <w:tabs>
          <w:tab w:val="left" w:pos="360"/>
          <w:tab w:val="right" w:leader="dot" w:pos="8630"/>
        </w:tabs>
        <w:rPr>
          <w:rFonts w:asciiTheme="minorHAnsi" w:eastAsiaTheme="minorEastAsia" w:hAnsiTheme="minorHAnsi" w:cstheme="minorBidi"/>
          <w:b w:val="0"/>
          <w:caps w:val="0"/>
          <w:noProof/>
          <w:sz w:val="22"/>
          <w:szCs w:val="22"/>
        </w:rPr>
      </w:pPr>
      <w:r w:rsidRPr="00395309">
        <w:rPr>
          <w:rFonts w:ascii="Times New Roman" w:hAnsi="Times New Roman"/>
          <w:b w:val="0"/>
          <w:i/>
        </w:rPr>
        <w:fldChar w:fldCharType="begin"/>
      </w:r>
      <w:r w:rsidR="00440E3B" w:rsidRPr="00010E16">
        <w:rPr>
          <w:rFonts w:ascii="Times New Roman" w:hAnsi="Times New Roman"/>
          <w:b w:val="0"/>
          <w:i/>
        </w:rPr>
        <w:instrText xml:space="preserve"> TOC \o "1-3" </w:instrText>
      </w:r>
      <w:r w:rsidRPr="00395309">
        <w:rPr>
          <w:rFonts w:ascii="Times New Roman" w:hAnsi="Times New Roman"/>
          <w:b w:val="0"/>
          <w:i/>
        </w:rPr>
        <w:fldChar w:fldCharType="separate"/>
      </w:r>
      <w:r w:rsidR="00E90C01">
        <w:rPr>
          <w:noProof/>
        </w:rPr>
        <w:t>1</w:t>
      </w:r>
      <w:r w:rsidR="00E90C01">
        <w:rPr>
          <w:rFonts w:asciiTheme="minorHAnsi" w:eastAsiaTheme="minorEastAsia" w:hAnsiTheme="minorHAnsi" w:cstheme="minorBidi"/>
          <w:b w:val="0"/>
          <w:caps w:val="0"/>
          <w:noProof/>
          <w:sz w:val="22"/>
          <w:szCs w:val="22"/>
        </w:rPr>
        <w:tab/>
      </w:r>
      <w:r w:rsidR="00E90C01">
        <w:rPr>
          <w:noProof/>
        </w:rPr>
        <w:t>Grounding Plan for the HFT detector system upgrade</w:t>
      </w:r>
      <w:r w:rsidR="00E90C01">
        <w:rPr>
          <w:noProof/>
        </w:rPr>
        <w:tab/>
      </w:r>
      <w:r>
        <w:rPr>
          <w:noProof/>
        </w:rPr>
        <w:fldChar w:fldCharType="begin"/>
      </w:r>
      <w:r w:rsidR="00E90C01">
        <w:rPr>
          <w:noProof/>
        </w:rPr>
        <w:instrText xml:space="preserve"> PAGEREF _Toc282783949 \h </w:instrText>
      </w:r>
      <w:r>
        <w:rPr>
          <w:noProof/>
        </w:rPr>
      </w:r>
      <w:r>
        <w:rPr>
          <w:noProof/>
        </w:rPr>
        <w:fldChar w:fldCharType="separate"/>
      </w:r>
      <w:r w:rsidR="00E90C01">
        <w:rPr>
          <w:noProof/>
        </w:rPr>
        <w:t>5</w:t>
      </w:r>
      <w:r>
        <w:rPr>
          <w:noProof/>
        </w:rPr>
        <w:fldChar w:fldCharType="end"/>
      </w:r>
    </w:p>
    <w:p w:rsidR="00E90C01" w:rsidRDefault="00E90C01">
      <w:pPr>
        <w:pStyle w:val="TOC1"/>
        <w:tabs>
          <w:tab w:val="left" w:pos="360"/>
          <w:tab w:val="right" w:leader="dot" w:pos="8630"/>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The PXL Grounding Plan</w:t>
      </w:r>
      <w:r>
        <w:rPr>
          <w:noProof/>
        </w:rPr>
        <w:tab/>
      </w:r>
      <w:r w:rsidR="00395309">
        <w:rPr>
          <w:noProof/>
        </w:rPr>
        <w:fldChar w:fldCharType="begin"/>
      </w:r>
      <w:r>
        <w:rPr>
          <w:noProof/>
        </w:rPr>
        <w:instrText xml:space="preserve"> PAGEREF _Toc282783950 \h </w:instrText>
      </w:r>
      <w:r w:rsidR="00395309">
        <w:rPr>
          <w:noProof/>
        </w:rPr>
      </w:r>
      <w:r w:rsidR="00395309">
        <w:rPr>
          <w:noProof/>
        </w:rPr>
        <w:fldChar w:fldCharType="separate"/>
      </w:r>
      <w:r>
        <w:rPr>
          <w:noProof/>
        </w:rPr>
        <w:t>5</w:t>
      </w:r>
      <w:r w:rsidR="00395309">
        <w:rPr>
          <w:noProof/>
        </w:rPr>
        <w:fldChar w:fldCharType="end"/>
      </w:r>
    </w:p>
    <w:p w:rsidR="00E90C01" w:rsidRDefault="00E90C01">
      <w:pPr>
        <w:pStyle w:val="TOC2"/>
        <w:tabs>
          <w:tab w:val="left" w:pos="540"/>
          <w:tab w:val="right" w:leader="dot" w:pos="8630"/>
        </w:tabs>
        <w:rPr>
          <w:rFonts w:asciiTheme="minorHAnsi" w:eastAsiaTheme="minorEastAsia" w:hAnsiTheme="minorHAnsi" w:cstheme="minorBidi"/>
          <w:b w:val="0"/>
          <w:noProof/>
          <w:sz w:val="22"/>
          <w:szCs w:val="22"/>
        </w:rPr>
      </w:pPr>
      <w:r>
        <w:rPr>
          <w:noProof/>
        </w:rPr>
        <w:t>2.1</w:t>
      </w:r>
      <w:r>
        <w:rPr>
          <w:rFonts w:asciiTheme="minorHAnsi" w:eastAsiaTheme="minorEastAsia" w:hAnsiTheme="minorHAnsi" w:cstheme="minorBidi"/>
          <w:b w:val="0"/>
          <w:noProof/>
          <w:sz w:val="22"/>
          <w:szCs w:val="22"/>
        </w:rPr>
        <w:tab/>
      </w:r>
      <w:r>
        <w:rPr>
          <w:noProof/>
        </w:rPr>
        <w:t>The signal path and shielding (see Figure 2)</w:t>
      </w:r>
      <w:r>
        <w:rPr>
          <w:noProof/>
        </w:rPr>
        <w:tab/>
      </w:r>
      <w:r w:rsidR="00395309">
        <w:rPr>
          <w:noProof/>
        </w:rPr>
        <w:fldChar w:fldCharType="begin"/>
      </w:r>
      <w:r>
        <w:rPr>
          <w:noProof/>
        </w:rPr>
        <w:instrText xml:space="preserve"> PAGEREF _Toc282783951 \h </w:instrText>
      </w:r>
      <w:r w:rsidR="00395309">
        <w:rPr>
          <w:noProof/>
        </w:rPr>
      </w:r>
      <w:r w:rsidR="00395309">
        <w:rPr>
          <w:noProof/>
        </w:rPr>
        <w:fldChar w:fldCharType="separate"/>
      </w:r>
      <w:r>
        <w:rPr>
          <w:noProof/>
        </w:rPr>
        <w:t>7</w:t>
      </w:r>
      <w:r w:rsidR="00395309">
        <w:rPr>
          <w:noProof/>
        </w:rPr>
        <w:fldChar w:fldCharType="end"/>
      </w:r>
    </w:p>
    <w:p w:rsidR="00E90C01" w:rsidRDefault="00E90C01">
      <w:pPr>
        <w:pStyle w:val="TOC2"/>
        <w:tabs>
          <w:tab w:val="left" w:pos="540"/>
          <w:tab w:val="right" w:leader="dot" w:pos="8630"/>
        </w:tabs>
        <w:rPr>
          <w:rFonts w:asciiTheme="minorHAnsi" w:eastAsiaTheme="minorEastAsia" w:hAnsiTheme="minorHAnsi" w:cstheme="minorBidi"/>
          <w:b w:val="0"/>
          <w:noProof/>
          <w:sz w:val="22"/>
          <w:szCs w:val="22"/>
        </w:rPr>
      </w:pPr>
      <w:r>
        <w:rPr>
          <w:noProof/>
        </w:rPr>
        <w:t>2.2</w:t>
      </w:r>
      <w:r>
        <w:rPr>
          <w:rFonts w:asciiTheme="minorHAnsi" w:eastAsiaTheme="minorEastAsia" w:hAnsiTheme="minorHAnsi" w:cstheme="minorBidi"/>
          <w:b w:val="0"/>
          <w:noProof/>
          <w:sz w:val="22"/>
          <w:szCs w:val="22"/>
        </w:rPr>
        <w:tab/>
      </w:r>
      <w:r>
        <w:rPr>
          <w:noProof/>
        </w:rPr>
        <w:t>Pixel Power/Return path (see Figure 2)</w:t>
      </w:r>
      <w:r>
        <w:rPr>
          <w:noProof/>
        </w:rPr>
        <w:tab/>
      </w:r>
      <w:r w:rsidR="00395309">
        <w:rPr>
          <w:noProof/>
        </w:rPr>
        <w:fldChar w:fldCharType="begin"/>
      </w:r>
      <w:r>
        <w:rPr>
          <w:noProof/>
        </w:rPr>
        <w:instrText xml:space="preserve"> PAGEREF _Toc282783952 \h </w:instrText>
      </w:r>
      <w:r w:rsidR="00395309">
        <w:rPr>
          <w:noProof/>
        </w:rPr>
      </w:r>
      <w:r w:rsidR="00395309">
        <w:rPr>
          <w:noProof/>
        </w:rPr>
        <w:fldChar w:fldCharType="separate"/>
      </w:r>
      <w:r>
        <w:rPr>
          <w:noProof/>
        </w:rPr>
        <w:t>7</w:t>
      </w:r>
      <w:r w:rsidR="00395309">
        <w:rPr>
          <w:noProof/>
        </w:rPr>
        <w:fldChar w:fldCharType="end"/>
      </w:r>
    </w:p>
    <w:p w:rsidR="00E90C01" w:rsidRDefault="00E90C01">
      <w:pPr>
        <w:pStyle w:val="TOC2"/>
        <w:tabs>
          <w:tab w:val="left" w:pos="540"/>
          <w:tab w:val="right" w:leader="dot" w:pos="8630"/>
        </w:tabs>
        <w:rPr>
          <w:rFonts w:asciiTheme="minorHAnsi" w:eastAsiaTheme="minorEastAsia" w:hAnsiTheme="minorHAnsi" w:cstheme="minorBidi"/>
          <w:b w:val="0"/>
          <w:noProof/>
          <w:sz w:val="22"/>
          <w:szCs w:val="22"/>
        </w:rPr>
      </w:pPr>
      <w:r>
        <w:rPr>
          <w:noProof/>
        </w:rPr>
        <w:t>2.3</w:t>
      </w:r>
      <w:r>
        <w:rPr>
          <w:rFonts w:asciiTheme="minorHAnsi" w:eastAsiaTheme="minorEastAsia" w:hAnsiTheme="minorHAnsi" w:cstheme="minorBidi"/>
          <w:b w:val="0"/>
          <w:noProof/>
          <w:sz w:val="22"/>
          <w:szCs w:val="22"/>
        </w:rPr>
        <w:tab/>
      </w:r>
      <w:r>
        <w:rPr>
          <w:noProof/>
        </w:rPr>
        <w:t>Ground path (see Figure 3)</w:t>
      </w:r>
      <w:r>
        <w:rPr>
          <w:noProof/>
        </w:rPr>
        <w:tab/>
      </w:r>
      <w:r w:rsidR="00395309">
        <w:rPr>
          <w:noProof/>
        </w:rPr>
        <w:fldChar w:fldCharType="begin"/>
      </w:r>
      <w:r>
        <w:rPr>
          <w:noProof/>
        </w:rPr>
        <w:instrText xml:space="preserve"> PAGEREF _Toc282783953 \h </w:instrText>
      </w:r>
      <w:r w:rsidR="00395309">
        <w:rPr>
          <w:noProof/>
        </w:rPr>
      </w:r>
      <w:r w:rsidR="00395309">
        <w:rPr>
          <w:noProof/>
        </w:rPr>
        <w:fldChar w:fldCharType="separate"/>
      </w:r>
      <w:r>
        <w:rPr>
          <w:noProof/>
        </w:rPr>
        <w:t>7</w:t>
      </w:r>
      <w:r w:rsidR="00395309">
        <w:rPr>
          <w:noProof/>
        </w:rPr>
        <w:fldChar w:fldCharType="end"/>
      </w:r>
    </w:p>
    <w:p w:rsidR="00E90C01" w:rsidRDefault="00E90C01">
      <w:pPr>
        <w:pStyle w:val="TOC2"/>
        <w:tabs>
          <w:tab w:val="left" w:pos="540"/>
          <w:tab w:val="right" w:leader="dot" w:pos="8630"/>
        </w:tabs>
        <w:rPr>
          <w:rFonts w:asciiTheme="minorHAnsi" w:eastAsiaTheme="minorEastAsia" w:hAnsiTheme="minorHAnsi" w:cstheme="minorBidi"/>
          <w:b w:val="0"/>
          <w:noProof/>
          <w:sz w:val="22"/>
          <w:szCs w:val="22"/>
        </w:rPr>
      </w:pPr>
      <w:r>
        <w:rPr>
          <w:noProof/>
        </w:rPr>
        <w:t>2.4</w:t>
      </w:r>
      <w:r>
        <w:rPr>
          <w:rFonts w:asciiTheme="minorHAnsi" w:eastAsiaTheme="minorEastAsia" w:hAnsiTheme="minorHAnsi" w:cstheme="minorBidi"/>
          <w:b w:val="0"/>
          <w:noProof/>
          <w:sz w:val="22"/>
          <w:szCs w:val="22"/>
        </w:rPr>
        <w:tab/>
      </w:r>
      <w:r>
        <w:rPr>
          <w:noProof/>
        </w:rPr>
        <w:t>Faraday shielding (see Figure 3, Figure 4, Figure 5)</w:t>
      </w:r>
      <w:r>
        <w:rPr>
          <w:noProof/>
        </w:rPr>
        <w:tab/>
      </w:r>
      <w:r w:rsidR="00395309">
        <w:rPr>
          <w:noProof/>
        </w:rPr>
        <w:fldChar w:fldCharType="begin"/>
      </w:r>
      <w:r>
        <w:rPr>
          <w:noProof/>
        </w:rPr>
        <w:instrText xml:space="preserve"> PAGEREF _Toc282783954 \h </w:instrText>
      </w:r>
      <w:r w:rsidR="00395309">
        <w:rPr>
          <w:noProof/>
        </w:rPr>
      </w:r>
      <w:r w:rsidR="00395309">
        <w:rPr>
          <w:noProof/>
        </w:rPr>
        <w:fldChar w:fldCharType="separate"/>
      </w:r>
      <w:r>
        <w:rPr>
          <w:noProof/>
        </w:rPr>
        <w:t>7</w:t>
      </w:r>
      <w:r w:rsidR="00395309">
        <w:rPr>
          <w:noProof/>
        </w:rPr>
        <w:fldChar w:fldCharType="end"/>
      </w:r>
    </w:p>
    <w:p w:rsidR="00E90C01" w:rsidRDefault="00E90C01">
      <w:pPr>
        <w:pStyle w:val="TOC1"/>
        <w:tabs>
          <w:tab w:val="left" w:pos="360"/>
          <w:tab w:val="right" w:leader="dot" w:pos="8630"/>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IST Grounding Plan</w:t>
      </w:r>
      <w:r>
        <w:rPr>
          <w:noProof/>
        </w:rPr>
        <w:tab/>
      </w:r>
      <w:r w:rsidR="00395309">
        <w:rPr>
          <w:noProof/>
        </w:rPr>
        <w:fldChar w:fldCharType="begin"/>
      </w:r>
      <w:r>
        <w:rPr>
          <w:noProof/>
        </w:rPr>
        <w:instrText xml:space="preserve"> PAGEREF _Toc282783955 \h </w:instrText>
      </w:r>
      <w:r w:rsidR="00395309">
        <w:rPr>
          <w:noProof/>
        </w:rPr>
      </w:r>
      <w:r w:rsidR="00395309">
        <w:rPr>
          <w:noProof/>
        </w:rPr>
        <w:fldChar w:fldCharType="separate"/>
      </w:r>
      <w:r>
        <w:rPr>
          <w:noProof/>
        </w:rPr>
        <w:t>11</w:t>
      </w:r>
      <w:r w:rsidR="00395309">
        <w:rPr>
          <w:noProof/>
        </w:rPr>
        <w:fldChar w:fldCharType="end"/>
      </w:r>
    </w:p>
    <w:p w:rsidR="00E90C01" w:rsidRDefault="00E90C01">
      <w:pPr>
        <w:pStyle w:val="TOC1"/>
        <w:tabs>
          <w:tab w:val="left" w:pos="360"/>
          <w:tab w:val="right" w:leader="dot" w:pos="8630"/>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SSD Grounding Plan</w:t>
      </w:r>
      <w:r>
        <w:rPr>
          <w:noProof/>
        </w:rPr>
        <w:tab/>
      </w:r>
      <w:r w:rsidR="00395309">
        <w:rPr>
          <w:noProof/>
        </w:rPr>
        <w:fldChar w:fldCharType="begin"/>
      </w:r>
      <w:r>
        <w:rPr>
          <w:noProof/>
        </w:rPr>
        <w:instrText xml:space="preserve"> PAGEREF _Toc282783956 \h </w:instrText>
      </w:r>
      <w:r w:rsidR="00395309">
        <w:rPr>
          <w:noProof/>
        </w:rPr>
      </w:r>
      <w:r w:rsidR="00395309">
        <w:rPr>
          <w:noProof/>
        </w:rPr>
        <w:fldChar w:fldCharType="separate"/>
      </w:r>
      <w:r>
        <w:rPr>
          <w:noProof/>
        </w:rPr>
        <w:t>11</w:t>
      </w:r>
      <w:r w:rsidR="00395309">
        <w:rPr>
          <w:noProof/>
        </w:rPr>
        <w:fldChar w:fldCharType="end"/>
      </w:r>
    </w:p>
    <w:p w:rsidR="00440E3B" w:rsidRPr="00010E16" w:rsidRDefault="00395309">
      <w:pPr>
        <w:rPr>
          <w:rFonts w:ascii="Times New Roman" w:hAnsi="Times New Roman"/>
          <w:b/>
          <w:i w:val="0"/>
          <w:caps/>
          <w:sz w:val="24"/>
        </w:rPr>
      </w:pPr>
      <w:r w:rsidRPr="00010E16">
        <w:rPr>
          <w:rFonts w:ascii="Times New Roman" w:hAnsi="Times New Roman"/>
          <w:b/>
          <w:i w:val="0"/>
          <w:sz w:val="24"/>
        </w:rPr>
        <w:fldChar w:fldCharType="end"/>
      </w:r>
    </w:p>
    <w:p w:rsidR="00440E3B" w:rsidRPr="00010E16" w:rsidRDefault="00440E3B">
      <w:pPr>
        <w:rPr>
          <w:rFonts w:ascii="Times New Roman" w:hAnsi="Times New Roman"/>
        </w:rPr>
      </w:pPr>
    </w:p>
    <w:p w:rsidR="008340A7" w:rsidRPr="00EA2676" w:rsidRDefault="00440E3B" w:rsidP="008340A7">
      <w:r w:rsidRPr="00010E16">
        <w:rPr>
          <w:rFonts w:ascii="Times New Roman" w:hAnsi="Times New Roman"/>
        </w:rPr>
        <w:br w:type="page"/>
      </w:r>
    </w:p>
    <w:p w:rsidR="008340A7" w:rsidRDefault="008340A7" w:rsidP="008340A7">
      <w:pPr>
        <w:rPr>
          <w:b/>
        </w:rPr>
      </w:pPr>
    </w:p>
    <w:p w:rsidR="008340A7" w:rsidRPr="000B5946" w:rsidRDefault="008340A7" w:rsidP="008340A7">
      <w:pPr>
        <w:pStyle w:val="Heading1"/>
      </w:pPr>
      <w:bookmarkStart w:id="5" w:name="_Toc282783949"/>
      <w:r w:rsidRPr="000B5946">
        <w:t xml:space="preserve">Grounding </w:t>
      </w:r>
      <w:r w:rsidR="0040074D">
        <w:t>Plan</w:t>
      </w:r>
      <w:r w:rsidRPr="000B5946">
        <w:t xml:space="preserve"> for the </w:t>
      </w:r>
      <w:r w:rsidR="00DF0CA1">
        <w:t>HFT</w:t>
      </w:r>
      <w:r w:rsidRPr="000B5946">
        <w:t xml:space="preserve"> detector system</w:t>
      </w:r>
      <w:r w:rsidR="00DF0CA1">
        <w:t xml:space="preserve"> upgrade</w:t>
      </w:r>
      <w:bookmarkEnd w:id="5"/>
    </w:p>
    <w:p w:rsidR="008340A7" w:rsidRDefault="008340A7" w:rsidP="008340A7"/>
    <w:p w:rsidR="008340A7" w:rsidRDefault="008340A7" w:rsidP="008340A7"/>
    <w:p w:rsidR="008340A7" w:rsidRPr="00856DC5" w:rsidRDefault="008340A7" w:rsidP="008340A7">
      <w:pPr>
        <w:jc w:val="both"/>
        <w:rPr>
          <w:sz w:val="20"/>
        </w:rPr>
      </w:pPr>
      <w:r w:rsidRPr="00856DC5">
        <w:rPr>
          <w:sz w:val="20"/>
        </w:rPr>
        <w:t xml:space="preserve">Electrical integration of the </w:t>
      </w:r>
      <w:r w:rsidR="00DF0CA1">
        <w:rPr>
          <w:sz w:val="20"/>
        </w:rPr>
        <w:t>HFT</w:t>
      </w:r>
      <w:r w:rsidRPr="00856DC5">
        <w:rPr>
          <w:sz w:val="20"/>
        </w:rPr>
        <w:t xml:space="preserve"> detector system into STAR must provide compatibility with the existing STAR grounding paths, shown in </w:t>
      </w:r>
      <w:fldSimple w:instr=" REF _Ref256586610 \h  \* MERGEFORMAT ">
        <w:r w:rsidRPr="00856DC5">
          <w:rPr>
            <w:sz w:val="20"/>
          </w:rPr>
          <w:t xml:space="preserve">Figure </w:t>
        </w:r>
        <w:r w:rsidRPr="00856DC5">
          <w:rPr>
            <w:noProof/>
            <w:sz w:val="20"/>
          </w:rPr>
          <w:t>1</w:t>
        </w:r>
      </w:fldSimple>
      <w:r w:rsidRPr="00856DC5">
        <w:rPr>
          <w:sz w:val="20"/>
        </w:rPr>
        <w:t xml:space="preserve">. The south platform is grounded to the STAR magnet. The north platform and the STAR magnet are both grounded to the building ground. The TPC is grounded through the HV power supplies, which are grounded on the south platform. </w:t>
      </w:r>
    </w:p>
    <w:p w:rsidR="008340A7" w:rsidRDefault="008340A7" w:rsidP="008340A7"/>
    <w:p w:rsidR="008340A7" w:rsidRPr="009C6743" w:rsidRDefault="008340A7" w:rsidP="008340A7">
      <w:pPr>
        <w:jc w:val="center"/>
      </w:pPr>
      <w:r>
        <w:rPr>
          <w:noProof/>
        </w:rPr>
        <w:drawing>
          <wp:inline distT="0" distB="0" distL="0" distR="0">
            <wp:extent cx="5476875" cy="4029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5476875" cy="4029075"/>
                    </a:xfrm>
                    <a:prstGeom prst="rect">
                      <a:avLst/>
                    </a:prstGeom>
                    <a:noFill/>
                    <a:ln w="9525">
                      <a:noFill/>
                      <a:miter lim="800000"/>
                      <a:headEnd/>
                      <a:tailEnd/>
                    </a:ln>
                  </pic:spPr>
                </pic:pic>
              </a:graphicData>
            </a:graphic>
          </wp:inline>
        </w:drawing>
      </w:r>
    </w:p>
    <w:p w:rsidR="008340A7" w:rsidRDefault="008340A7" w:rsidP="008340A7">
      <w:pPr>
        <w:pStyle w:val="Caption"/>
      </w:pPr>
      <w:bookmarkStart w:id="6" w:name="_Ref256586610"/>
      <w:r>
        <w:t xml:space="preserve">Figure </w:t>
      </w:r>
      <w:fldSimple w:instr=" SEQ Figure \* ARABIC ">
        <w:r>
          <w:rPr>
            <w:noProof/>
          </w:rPr>
          <w:t>1</w:t>
        </w:r>
      </w:fldSimple>
      <w:bookmarkEnd w:id="6"/>
      <w:r>
        <w:t xml:space="preserve"> STAR GND paths. Note high impedance connection between TPC LVPS and platform ground.</w:t>
      </w:r>
    </w:p>
    <w:p w:rsidR="008340A7" w:rsidRDefault="008340A7" w:rsidP="008340A7"/>
    <w:p w:rsidR="008340A7" w:rsidRPr="00856DC5" w:rsidRDefault="008340A7" w:rsidP="008340A7">
      <w:pPr>
        <w:jc w:val="both"/>
        <w:rPr>
          <w:sz w:val="20"/>
        </w:rPr>
      </w:pPr>
      <w:r w:rsidRPr="00856DC5">
        <w:rPr>
          <w:sz w:val="20"/>
        </w:rPr>
        <w:t xml:space="preserve">The power and ground connections for </w:t>
      </w:r>
      <w:r w:rsidR="00DF0CA1">
        <w:rPr>
          <w:sz w:val="20"/>
        </w:rPr>
        <w:t xml:space="preserve">each of </w:t>
      </w:r>
      <w:r w:rsidRPr="00856DC5">
        <w:rPr>
          <w:sz w:val="20"/>
        </w:rPr>
        <w:t xml:space="preserve">the </w:t>
      </w:r>
      <w:r w:rsidR="00DF0CA1">
        <w:rPr>
          <w:sz w:val="20"/>
        </w:rPr>
        <w:t>HFT detector subsystems</w:t>
      </w:r>
      <w:r w:rsidRPr="00856DC5">
        <w:rPr>
          <w:sz w:val="20"/>
        </w:rPr>
        <w:t xml:space="preserve"> are required to adhere to the grounding scheme adopted for the HFT detector. These requirements mandate:</w:t>
      </w:r>
    </w:p>
    <w:p w:rsidR="008340A7" w:rsidRPr="00856DC5" w:rsidRDefault="008340A7" w:rsidP="008340A7">
      <w:pPr>
        <w:numPr>
          <w:ilvl w:val="0"/>
          <w:numId w:val="14"/>
        </w:numPr>
        <w:spacing w:before="0"/>
        <w:jc w:val="both"/>
        <w:rPr>
          <w:sz w:val="20"/>
        </w:rPr>
      </w:pPr>
      <w:r w:rsidRPr="00856DC5">
        <w:rPr>
          <w:sz w:val="20"/>
        </w:rPr>
        <w:t>A single point ground at the STAR grounding point on the TPC wheel;</w:t>
      </w:r>
    </w:p>
    <w:p w:rsidR="008340A7" w:rsidRPr="00856DC5" w:rsidRDefault="008340A7" w:rsidP="008340A7">
      <w:pPr>
        <w:numPr>
          <w:ilvl w:val="0"/>
          <w:numId w:val="14"/>
        </w:numPr>
        <w:spacing w:before="0"/>
        <w:jc w:val="both"/>
        <w:rPr>
          <w:sz w:val="20"/>
        </w:rPr>
      </w:pPr>
      <w:r w:rsidRPr="00856DC5">
        <w:rPr>
          <w:sz w:val="20"/>
        </w:rPr>
        <w:t>Floating power supplies in the STAR racks;</w:t>
      </w:r>
    </w:p>
    <w:p w:rsidR="008340A7" w:rsidRPr="00856DC5" w:rsidRDefault="008340A7" w:rsidP="008340A7">
      <w:pPr>
        <w:numPr>
          <w:ilvl w:val="0"/>
          <w:numId w:val="14"/>
        </w:numPr>
        <w:spacing w:before="0"/>
        <w:jc w:val="both"/>
        <w:rPr>
          <w:sz w:val="20"/>
        </w:rPr>
      </w:pPr>
      <w:r w:rsidRPr="00856DC5">
        <w:rPr>
          <w:sz w:val="20"/>
        </w:rPr>
        <w:t>Relevant parts of the mechanical support structure need electrical grounding points that can be carried back to the STAR ground.</w:t>
      </w:r>
    </w:p>
    <w:p w:rsidR="008340A7" w:rsidRPr="00856DC5" w:rsidRDefault="008340A7" w:rsidP="008340A7">
      <w:pPr>
        <w:rPr>
          <w:sz w:val="20"/>
        </w:rPr>
      </w:pPr>
    </w:p>
    <w:p w:rsidR="00DF0CA1" w:rsidRDefault="00DF0CA1" w:rsidP="00DF0CA1">
      <w:pPr>
        <w:pStyle w:val="Heading1"/>
      </w:pPr>
      <w:bookmarkStart w:id="7" w:name="_Toc282783950"/>
      <w:r>
        <w:t>The PXL Grounding Plan</w:t>
      </w:r>
      <w:bookmarkEnd w:id="7"/>
    </w:p>
    <w:p w:rsidR="00DF0CA1" w:rsidRDefault="00DF0CA1" w:rsidP="008340A7">
      <w:pPr>
        <w:jc w:val="both"/>
        <w:rPr>
          <w:sz w:val="20"/>
        </w:rPr>
      </w:pPr>
    </w:p>
    <w:p w:rsidR="008340A7" w:rsidRPr="00856DC5" w:rsidRDefault="008340A7" w:rsidP="008340A7">
      <w:pPr>
        <w:jc w:val="both"/>
        <w:rPr>
          <w:sz w:val="20"/>
        </w:rPr>
      </w:pPr>
      <w:r w:rsidRPr="00856DC5">
        <w:rPr>
          <w:sz w:val="20"/>
        </w:rPr>
        <w:lastRenderedPageBreak/>
        <w:t xml:space="preserve">The PXL detector system design is composed of 10 parallel subsystems. Each subsystem is constructed from a detector sector (4 parallel ladders) connected to a mass-termination board (MTB) that is connected to a RDO card with readout/control via a dedicated PC. The signal and power/return paths are presented in </w:t>
      </w:r>
      <w:fldSimple w:instr=" REF _Ref256609311 \h  \* MERGEFORMAT ">
        <w:r w:rsidRPr="00856DC5">
          <w:rPr>
            <w:sz w:val="20"/>
          </w:rPr>
          <w:t xml:space="preserve">Figure </w:t>
        </w:r>
        <w:r w:rsidRPr="00856DC5">
          <w:rPr>
            <w:noProof/>
            <w:sz w:val="20"/>
          </w:rPr>
          <w:t>2</w:t>
        </w:r>
      </w:fldSimple>
      <w:r w:rsidRPr="00856DC5">
        <w:rPr>
          <w:sz w:val="20"/>
        </w:rPr>
        <w:t xml:space="preserve"> for a single subsystem that reflects this architecture.</w:t>
      </w:r>
    </w:p>
    <w:p w:rsidR="008340A7" w:rsidRPr="00856DC5" w:rsidRDefault="008340A7" w:rsidP="008340A7">
      <w:pPr>
        <w:jc w:val="both"/>
        <w:rPr>
          <w:sz w:val="20"/>
        </w:rPr>
      </w:pPr>
    </w:p>
    <w:p w:rsidR="008340A7" w:rsidRPr="00856DC5" w:rsidRDefault="008340A7" w:rsidP="008340A7">
      <w:pPr>
        <w:jc w:val="both"/>
        <w:rPr>
          <w:sz w:val="20"/>
        </w:rPr>
      </w:pPr>
      <w:r w:rsidRPr="00856DC5">
        <w:rPr>
          <w:sz w:val="20"/>
        </w:rPr>
        <w:t>At the PXL detector level, ten MTBs and RDO cards are grouped together in crates located inside and outside of the TPC volume, respectively. The PXL system utilizes two power supplies with one supplying power for the MTBs and the other supplying power for the RDO cards.</w:t>
      </w:r>
    </w:p>
    <w:p w:rsidR="008340A7" w:rsidRPr="00856DC5" w:rsidRDefault="008340A7" w:rsidP="008340A7">
      <w:pPr>
        <w:jc w:val="both"/>
        <w:rPr>
          <w:sz w:val="20"/>
        </w:rPr>
      </w:pPr>
    </w:p>
    <w:p w:rsidR="008340A7" w:rsidRPr="00856DC5" w:rsidRDefault="008340A7" w:rsidP="008340A7">
      <w:pPr>
        <w:jc w:val="both"/>
        <w:rPr>
          <w:sz w:val="20"/>
        </w:rPr>
      </w:pPr>
      <w:r w:rsidRPr="00856DC5">
        <w:rPr>
          <w:sz w:val="20"/>
        </w:rPr>
        <w:t xml:space="preserve">The PXL detector system power supplies and RDO/ control PCs are located in the racks on the south platform. RDO cards are mounted next to the TPC wheel. The MTBs and the PXL detector sectors are located inside the inner detector volume and connect to the rest of the system through a bulkhead patch panel. </w:t>
      </w:r>
    </w:p>
    <w:p w:rsidR="008340A7" w:rsidRPr="00856DC5" w:rsidRDefault="008340A7" w:rsidP="008340A7">
      <w:pPr>
        <w:rPr>
          <w:sz w:val="20"/>
        </w:rPr>
      </w:pPr>
    </w:p>
    <w:p w:rsidR="008340A7" w:rsidRPr="00856DC5" w:rsidRDefault="008340A7" w:rsidP="008340A7">
      <w:pPr>
        <w:rPr>
          <w:sz w:val="20"/>
        </w:rPr>
      </w:pPr>
    </w:p>
    <w:p w:rsidR="008340A7" w:rsidRDefault="008340A7" w:rsidP="008340A7">
      <w:pPr>
        <w:jc w:val="center"/>
      </w:pPr>
    </w:p>
    <w:p w:rsidR="008340A7" w:rsidRPr="009C6743" w:rsidRDefault="008340A7" w:rsidP="008340A7">
      <w:pPr>
        <w:pStyle w:val="Caption"/>
      </w:pPr>
      <w:r>
        <w:rPr>
          <w:noProof/>
        </w:rPr>
        <w:drawing>
          <wp:inline distT="0" distB="0" distL="0" distR="0">
            <wp:extent cx="5486400" cy="390525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3905250"/>
                    </a:xfrm>
                    <a:prstGeom prst="rect">
                      <a:avLst/>
                    </a:prstGeom>
                    <a:noFill/>
                    <a:ln w="9525">
                      <a:noFill/>
                      <a:miter lim="800000"/>
                      <a:headEnd/>
                      <a:tailEnd/>
                    </a:ln>
                  </pic:spPr>
                </pic:pic>
              </a:graphicData>
            </a:graphic>
          </wp:inline>
        </w:drawing>
      </w:r>
    </w:p>
    <w:p w:rsidR="008340A7" w:rsidRDefault="008340A7" w:rsidP="008340A7">
      <w:pPr>
        <w:pStyle w:val="Caption"/>
      </w:pPr>
      <w:bookmarkStart w:id="8" w:name="_Ref256609311"/>
      <w:r>
        <w:t xml:space="preserve">Figure </w:t>
      </w:r>
      <w:fldSimple w:instr=" SEQ Figure \* ARABIC ">
        <w:r>
          <w:rPr>
            <w:noProof/>
          </w:rPr>
          <w:t>2</w:t>
        </w:r>
      </w:fldSimple>
      <w:bookmarkEnd w:id="8"/>
      <w:r>
        <w:t xml:space="preserve"> Power/Return and signal path in the PXL detector system.</w:t>
      </w:r>
    </w:p>
    <w:p w:rsidR="008340A7" w:rsidRDefault="008340A7" w:rsidP="008340A7"/>
    <w:p w:rsidR="008340A7" w:rsidRPr="00856DC5" w:rsidRDefault="008340A7" w:rsidP="008340A7">
      <w:pPr>
        <w:jc w:val="both"/>
        <w:rPr>
          <w:sz w:val="20"/>
        </w:rPr>
      </w:pPr>
      <w:r w:rsidRPr="00856DC5">
        <w:rPr>
          <w:sz w:val="20"/>
        </w:rPr>
        <w:t>The grounding scheme for the PXL detector has been designed to provide a single grounding point for the PXL detector system at the</w:t>
      </w:r>
      <w:r w:rsidRPr="00856DC5">
        <w:rPr>
          <w:bCs/>
          <w:sz w:val="20"/>
        </w:rPr>
        <w:t xml:space="preserve"> PXL bulkhead patch panel,</w:t>
      </w:r>
      <w:r w:rsidRPr="00856DC5">
        <w:rPr>
          <w:sz w:val="20"/>
        </w:rPr>
        <w:t xml:space="preserve"> which is hard grounded to the east TPC wheel. </w:t>
      </w:r>
    </w:p>
    <w:p w:rsidR="008340A7" w:rsidRPr="00856DC5" w:rsidRDefault="008340A7" w:rsidP="008340A7">
      <w:pPr>
        <w:jc w:val="both"/>
        <w:rPr>
          <w:sz w:val="20"/>
        </w:rPr>
      </w:pPr>
    </w:p>
    <w:p w:rsidR="008340A7" w:rsidRPr="00856DC5" w:rsidRDefault="008340A7" w:rsidP="008340A7">
      <w:pPr>
        <w:jc w:val="both"/>
        <w:rPr>
          <w:sz w:val="20"/>
        </w:rPr>
      </w:pPr>
      <w:r w:rsidRPr="00856DC5">
        <w:rPr>
          <w:sz w:val="20"/>
        </w:rPr>
        <w:t>The description of the grounding scheme is divided into three sections: the signal path and shielding, power/return path, and ground path.</w:t>
      </w:r>
    </w:p>
    <w:p w:rsidR="008340A7" w:rsidRPr="009C1ED7" w:rsidRDefault="008340A7" w:rsidP="008340A7"/>
    <w:p w:rsidR="008340A7" w:rsidRDefault="008340A7" w:rsidP="008340A7">
      <w:pPr>
        <w:pStyle w:val="Heading2"/>
      </w:pPr>
      <w:bookmarkStart w:id="9" w:name="_Toc282783951"/>
      <w:r>
        <w:lastRenderedPageBreak/>
        <w:t xml:space="preserve">The signal path and shielding </w:t>
      </w:r>
      <w:r w:rsidRPr="007A350B">
        <w:t xml:space="preserve">(see </w:t>
      </w:r>
      <w:fldSimple w:instr=" REF _Ref256609311 \h  \* MERGEFORMAT ">
        <w:r>
          <w:t xml:space="preserve">Figure </w:t>
        </w:r>
        <w:r>
          <w:rPr>
            <w:noProof/>
          </w:rPr>
          <w:t>2</w:t>
        </w:r>
      </w:fldSimple>
      <w:r w:rsidRPr="007A350B">
        <w:t>)</w:t>
      </w:r>
      <w:bookmarkEnd w:id="9"/>
    </w:p>
    <w:p w:rsidR="008340A7" w:rsidRPr="00856DC5" w:rsidRDefault="008340A7" w:rsidP="008340A7">
      <w:pPr>
        <w:numPr>
          <w:ilvl w:val="0"/>
          <w:numId w:val="16"/>
        </w:numPr>
        <w:spacing w:before="0"/>
        <w:jc w:val="both"/>
        <w:rPr>
          <w:sz w:val="20"/>
        </w:rPr>
      </w:pPr>
      <w:r w:rsidRPr="00856DC5">
        <w:rPr>
          <w:sz w:val="20"/>
        </w:rPr>
        <w:t>All signals transferred between different blocks are digital signals. All analog signal processing is integrated inside MAPS sensors.</w:t>
      </w:r>
    </w:p>
    <w:p w:rsidR="008340A7" w:rsidRPr="00856DC5" w:rsidRDefault="008340A7" w:rsidP="008340A7">
      <w:pPr>
        <w:numPr>
          <w:ilvl w:val="0"/>
          <w:numId w:val="16"/>
        </w:numPr>
        <w:spacing w:before="0"/>
        <w:jc w:val="both"/>
        <w:rPr>
          <w:sz w:val="20"/>
        </w:rPr>
      </w:pPr>
      <w:r w:rsidRPr="00856DC5">
        <w:rPr>
          <w:sz w:val="20"/>
        </w:rPr>
        <w:t>Signal ground and power ground are common on the system block PCBs (ladder flex cables, MTBs, RDO cards);</w:t>
      </w:r>
    </w:p>
    <w:p w:rsidR="008340A7" w:rsidRPr="00856DC5" w:rsidRDefault="008340A7" w:rsidP="008340A7">
      <w:pPr>
        <w:numPr>
          <w:ilvl w:val="0"/>
          <w:numId w:val="16"/>
        </w:numPr>
        <w:spacing w:before="0"/>
        <w:jc w:val="both"/>
        <w:rPr>
          <w:sz w:val="20"/>
        </w:rPr>
      </w:pPr>
      <w:r w:rsidRPr="00856DC5">
        <w:rPr>
          <w:sz w:val="20"/>
        </w:rPr>
        <w:t>Signal, power and ground to the sensors and RDO are isolated from their support structures (sector tube support, MTB crate, RDO crate);</w:t>
      </w:r>
    </w:p>
    <w:p w:rsidR="008340A7" w:rsidRPr="00856DC5" w:rsidRDefault="008340A7" w:rsidP="008340A7">
      <w:pPr>
        <w:numPr>
          <w:ilvl w:val="0"/>
          <w:numId w:val="16"/>
        </w:numPr>
        <w:spacing w:before="0"/>
        <w:jc w:val="both"/>
        <w:rPr>
          <w:sz w:val="20"/>
        </w:rPr>
      </w:pPr>
      <w:r w:rsidRPr="00856DC5">
        <w:rPr>
          <w:sz w:val="20"/>
        </w:rPr>
        <w:t>Signals transferred between MTB and RDO cards are differential and are independently ground referenced to the patch panel (TPC wheel);</w:t>
      </w:r>
    </w:p>
    <w:p w:rsidR="008340A7" w:rsidRPr="00856DC5" w:rsidRDefault="008340A7" w:rsidP="008340A7">
      <w:pPr>
        <w:numPr>
          <w:ilvl w:val="0"/>
          <w:numId w:val="16"/>
        </w:numPr>
        <w:spacing w:before="0"/>
        <w:jc w:val="both"/>
        <w:rPr>
          <w:sz w:val="20"/>
        </w:rPr>
      </w:pPr>
      <w:r w:rsidRPr="00856DC5">
        <w:rPr>
          <w:sz w:val="20"/>
        </w:rPr>
        <w:t>Signals from the TCD to the RDO cards are differential and are independently ground referenced to the TPC wheel;</w:t>
      </w:r>
    </w:p>
    <w:p w:rsidR="008340A7" w:rsidRPr="00856DC5" w:rsidRDefault="008340A7" w:rsidP="008340A7">
      <w:pPr>
        <w:numPr>
          <w:ilvl w:val="0"/>
          <w:numId w:val="16"/>
        </w:numPr>
        <w:spacing w:before="0"/>
        <w:jc w:val="both"/>
        <w:rPr>
          <w:sz w:val="20"/>
        </w:rPr>
      </w:pPr>
      <w:r w:rsidRPr="00856DC5">
        <w:rPr>
          <w:sz w:val="20"/>
        </w:rPr>
        <w:t>The control/readout PCs are electrically isolated from the RDO boards via an optical connection;</w:t>
      </w:r>
    </w:p>
    <w:p w:rsidR="008340A7" w:rsidRPr="00856DC5" w:rsidRDefault="008340A7" w:rsidP="008340A7">
      <w:pPr>
        <w:numPr>
          <w:ilvl w:val="0"/>
          <w:numId w:val="16"/>
        </w:numPr>
        <w:spacing w:before="0"/>
        <w:jc w:val="both"/>
        <w:rPr>
          <w:sz w:val="20"/>
        </w:rPr>
      </w:pPr>
      <w:r w:rsidRPr="00856DC5">
        <w:rPr>
          <w:sz w:val="20"/>
        </w:rPr>
        <w:t>Signal shielding is currently envisioned for the connection between MTBs and RDO boards. The shield should be grounded at the bulkhead panel and extend to MTBs and RDO boards but is isolated from the ground on these boards;</w:t>
      </w:r>
    </w:p>
    <w:p w:rsidR="008340A7" w:rsidRPr="00A45701" w:rsidRDefault="008340A7" w:rsidP="008340A7"/>
    <w:p w:rsidR="008340A7" w:rsidRPr="007D41F0" w:rsidRDefault="008340A7" w:rsidP="008340A7">
      <w:pPr>
        <w:pStyle w:val="Heading2"/>
      </w:pPr>
      <w:bookmarkStart w:id="10" w:name="_Toc282783952"/>
      <w:r>
        <w:t xml:space="preserve">Pixel Power/Return path </w:t>
      </w:r>
      <w:r w:rsidRPr="007A350B">
        <w:t xml:space="preserve">(see </w:t>
      </w:r>
      <w:fldSimple w:instr=" REF _Ref256609311 \h  \* MERGEFORMAT ">
        <w:r>
          <w:t xml:space="preserve">Figure </w:t>
        </w:r>
        <w:r>
          <w:rPr>
            <w:noProof/>
          </w:rPr>
          <w:t>2</w:t>
        </w:r>
      </w:fldSimple>
      <w:r w:rsidRPr="007A350B">
        <w:t>)</w:t>
      </w:r>
      <w:bookmarkEnd w:id="10"/>
    </w:p>
    <w:p w:rsidR="008340A7" w:rsidRPr="00856DC5" w:rsidRDefault="008340A7" w:rsidP="008340A7">
      <w:pPr>
        <w:numPr>
          <w:ilvl w:val="0"/>
          <w:numId w:val="16"/>
        </w:numPr>
        <w:spacing w:before="0"/>
        <w:jc w:val="both"/>
        <w:rPr>
          <w:sz w:val="20"/>
        </w:rPr>
      </w:pPr>
      <w:r w:rsidRPr="00856DC5">
        <w:rPr>
          <w:sz w:val="20"/>
        </w:rPr>
        <w:t>The power return path (GND) for the RDO cards is extended to the bulkhead patch panel, the single grounding point of the system;</w:t>
      </w:r>
    </w:p>
    <w:p w:rsidR="008340A7" w:rsidRPr="00856DC5" w:rsidRDefault="008340A7" w:rsidP="008340A7">
      <w:pPr>
        <w:numPr>
          <w:ilvl w:val="0"/>
          <w:numId w:val="16"/>
        </w:numPr>
        <w:spacing w:before="0"/>
        <w:jc w:val="both"/>
        <w:rPr>
          <w:sz w:val="20"/>
        </w:rPr>
      </w:pPr>
      <w:r w:rsidRPr="00856DC5">
        <w:rPr>
          <w:sz w:val="20"/>
        </w:rPr>
        <w:t>Power connection to MTB passes through the patch panel, where the power return path is grounded;</w:t>
      </w:r>
    </w:p>
    <w:p w:rsidR="008340A7" w:rsidRPr="00856DC5" w:rsidRDefault="008340A7" w:rsidP="008340A7">
      <w:pPr>
        <w:numPr>
          <w:ilvl w:val="0"/>
          <w:numId w:val="16"/>
        </w:numPr>
        <w:spacing w:before="0"/>
        <w:jc w:val="both"/>
        <w:rPr>
          <w:sz w:val="20"/>
        </w:rPr>
      </w:pPr>
      <w:r w:rsidRPr="00856DC5">
        <w:rPr>
          <w:sz w:val="20"/>
        </w:rPr>
        <w:t>Power supply (analog and digital) for four ladders per sector is regulated on the MTB and connected to the ladders in parallel. Analog and digital grounds are common;</w:t>
      </w:r>
    </w:p>
    <w:p w:rsidR="008340A7" w:rsidRPr="00856DC5" w:rsidRDefault="008340A7" w:rsidP="008340A7">
      <w:pPr>
        <w:rPr>
          <w:sz w:val="20"/>
        </w:rPr>
      </w:pPr>
    </w:p>
    <w:p w:rsidR="008340A7" w:rsidRPr="00EF4972" w:rsidRDefault="008340A7" w:rsidP="008340A7">
      <w:pPr>
        <w:pStyle w:val="Heading2"/>
      </w:pPr>
      <w:bookmarkStart w:id="11" w:name="_Toc282783953"/>
      <w:r w:rsidRPr="00EF4972">
        <w:t>Ground path</w:t>
      </w:r>
      <w:r>
        <w:t xml:space="preserve"> </w:t>
      </w:r>
      <w:r w:rsidRPr="007A350B">
        <w:t xml:space="preserve">(see </w:t>
      </w:r>
      <w:fldSimple w:instr=" REF _Ref256586765 \h  \* MERGEFORMAT ">
        <w:r>
          <w:t xml:space="preserve">Figure </w:t>
        </w:r>
        <w:r>
          <w:rPr>
            <w:noProof/>
          </w:rPr>
          <w:t>3</w:t>
        </w:r>
      </w:fldSimple>
      <w:r w:rsidRPr="007A350B">
        <w:t>)</w:t>
      </w:r>
      <w:bookmarkEnd w:id="11"/>
    </w:p>
    <w:p w:rsidR="008340A7" w:rsidRPr="00856DC5" w:rsidRDefault="008340A7" w:rsidP="008340A7">
      <w:pPr>
        <w:numPr>
          <w:ilvl w:val="0"/>
          <w:numId w:val="15"/>
        </w:numPr>
        <w:spacing w:before="0"/>
        <w:jc w:val="both"/>
        <w:rPr>
          <w:sz w:val="20"/>
        </w:rPr>
      </w:pPr>
      <w:r w:rsidRPr="00856DC5">
        <w:rPr>
          <w:sz w:val="20"/>
        </w:rPr>
        <w:t>The power supplies at the rack are configured to be floating with a high impedance resistor providing a soft ground for the power supplies;</w:t>
      </w:r>
    </w:p>
    <w:p w:rsidR="008340A7" w:rsidRPr="00856DC5" w:rsidRDefault="008340A7" w:rsidP="008340A7">
      <w:pPr>
        <w:numPr>
          <w:ilvl w:val="0"/>
          <w:numId w:val="15"/>
        </w:numPr>
        <w:spacing w:before="0"/>
        <w:jc w:val="both"/>
        <w:rPr>
          <w:sz w:val="20"/>
        </w:rPr>
      </w:pPr>
      <w:r w:rsidRPr="00856DC5">
        <w:rPr>
          <w:sz w:val="20"/>
        </w:rPr>
        <w:t>RDO/control PCs are grounded at the rack;</w:t>
      </w:r>
    </w:p>
    <w:p w:rsidR="008340A7" w:rsidRPr="00856DC5" w:rsidRDefault="008340A7" w:rsidP="008340A7">
      <w:pPr>
        <w:numPr>
          <w:ilvl w:val="0"/>
          <w:numId w:val="15"/>
        </w:numPr>
        <w:spacing w:before="0"/>
        <w:jc w:val="both"/>
        <w:rPr>
          <w:sz w:val="20"/>
        </w:rPr>
      </w:pPr>
      <w:r w:rsidRPr="00856DC5">
        <w:rPr>
          <w:sz w:val="20"/>
        </w:rPr>
        <w:t>The RDO crate is grounded to the magnet iron and is electrically isolated from the RDO cards;</w:t>
      </w:r>
    </w:p>
    <w:p w:rsidR="008340A7" w:rsidRPr="00856DC5" w:rsidRDefault="008340A7" w:rsidP="008340A7">
      <w:pPr>
        <w:numPr>
          <w:ilvl w:val="0"/>
          <w:numId w:val="15"/>
        </w:numPr>
        <w:spacing w:before="0"/>
        <w:jc w:val="both"/>
        <w:rPr>
          <w:sz w:val="20"/>
        </w:rPr>
      </w:pPr>
      <w:r w:rsidRPr="00856DC5">
        <w:rPr>
          <w:sz w:val="20"/>
        </w:rPr>
        <w:t>The MTB crate is grounded through the bulkhead panel to the TPC wheel and is electrically isolated from the MTB cards;</w:t>
      </w:r>
    </w:p>
    <w:p w:rsidR="008340A7" w:rsidRPr="00856DC5" w:rsidRDefault="008340A7" w:rsidP="008340A7">
      <w:pPr>
        <w:numPr>
          <w:ilvl w:val="0"/>
          <w:numId w:val="15"/>
        </w:numPr>
        <w:spacing w:before="0"/>
        <w:jc w:val="both"/>
        <w:rPr>
          <w:sz w:val="20"/>
        </w:rPr>
      </w:pPr>
      <w:r w:rsidRPr="00856DC5">
        <w:rPr>
          <w:sz w:val="20"/>
        </w:rPr>
        <w:t>The sector tube supports are grounded through the bulkhead panel to the TPC wheel and are electrically isolated from the ladder flex cables;</w:t>
      </w:r>
    </w:p>
    <w:p w:rsidR="008340A7" w:rsidRPr="00856DC5" w:rsidRDefault="008340A7" w:rsidP="008340A7">
      <w:pPr>
        <w:numPr>
          <w:ilvl w:val="0"/>
          <w:numId w:val="15"/>
        </w:numPr>
        <w:spacing w:before="0"/>
        <w:jc w:val="both"/>
        <w:rPr>
          <w:sz w:val="20"/>
        </w:rPr>
      </w:pPr>
      <w:r w:rsidRPr="00856DC5">
        <w:rPr>
          <w:sz w:val="20"/>
        </w:rPr>
        <w:t>The PXL insertion tube (PIT) and PXL support tube (PST) are grounded at the bulkhead pane</w:t>
      </w:r>
      <w:r w:rsidR="00E80195" w:rsidRPr="00856DC5">
        <w:rPr>
          <w:sz w:val="20"/>
        </w:rPr>
        <w:t>l</w:t>
      </w:r>
      <w:r w:rsidRPr="00856DC5">
        <w:rPr>
          <w:sz w:val="20"/>
        </w:rPr>
        <w:t>.</w:t>
      </w:r>
    </w:p>
    <w:p w:rsidR="008340A7" w:rsidRPr="00856DC5" w:rsidRDefault="008340A7" w:rsidP="008340A7">
      <w:pPr>
        <w:rPr>
          <w:sz w:val="20"/>
        </w:rPr>
      </w:pPr>
    </w:p>
    <w:p w:rsidR="008340A7" w:rsidRDefault="008340A7" w:rsidP="008340A7">
      <w:pPr>
        <w:pStyle w:val="Heading2"/>
      </w:pPr>
      <w:bookmarkStart w:id="12" w:name="_Toc282783954"/>
      <w:r w:rsidRPr="00A819ED">
        <w:t>Faraday shielding</w:t>
      </w:r>
      <w:r>
        <w:t xml:space="preserve"> (see </w:t>
      </w:r>
      <w:fldSimple w:instr=" REF _Ref256586765 \h  \* MERGEFORMAT ">
        <w:r>
          <w:t xml:space="preserve">Figure </w:t>
        </w:r>
        <w:r>
          <w:rPr>
            <w:noProof/>
          </w:rPr>
          <w:t>3</w:t>
        </w:r>
      </w:fldSimple>
      <w:r>
        <w:t xml:space="preserve">, </w:t>
      </w:r>
      <w:fldSimple w:instr=" REF _Ref257751308 \h  \* MERGEFORMAT ">
        <w:r>
          <w:t xml:space="preserve">Figure </w:t>
        </w:r>
        <w:r>
          <w:rPr>
            <w:noProof/>
          </w:rPr>
          <w:t>4</w:t>
        </w:r>
      </w:fldSimple>
      <w:r>
        <w:t xml:space="preserve">, </w:t>
      </w:r>
      <w:fldSimple w:instr=" REF _Ref256772062 \h  \* MERGEFORMAT ">
        <w:r w:rsidRPr="00AA7377">
          <w:t xml:space="preserve">Figure </w:t>
        </w:r>
        <w:r>
          <w:rPr>
            <w:noProof/>
          </w:rPr>
          <w:t>5</w:t>
        </w:r>
      </w:fldSimple>
      <w:r>
        <w:t>)</w:t>
      </w:r>
      <w:bookmarkEnd w:id="12"/>
    </w:p>
    <w:p w:rsidR="008340A7" w:rsidRPr="00856DC5" w:rsidRDefault="008340A7" w:rsidP="008340A7">
      <w:pPr>
        <w:rPr>
          <w:sz w:val="20"/>
        </w:rPr>
      </w:pPr>
      <w:r w:rsidRPr="00856DC5">
        <w:rPr>
          <w:sz w:val="20"/>
        </w:rPr>
        <w:t>There are no hard requirements for shielding between detectors. The switching signal load (data, clocks, etc.) are all differential to and from the PXL detector and the radiated “noise” is expected to be quite low. It is prudent to include shielding between the detector layers so we have incorporated a faraday shield around the PXL detector. The faraday enclosure around the PXL detector consists of several conductive carbon fiber tubes electrically connected together and joined electrically to the patch panel that seals the volume. The PIT and PST enclose the PXL sectors and will be joined electrically every ~2 inches along the contact circumference. The PIT to patch panel interface is expected to be an aluminum to aluminum contact made with bolts. While it is not required, the PIT/PST structure may also be electrically connected to the ESC.</w:t>
      </w:r>
    </w:p>
    <w:p w:rsidR="008340A7" w:rsidRPr="00856DC5" w:rsidRDefault="008340A7" w:rsidP="008340A7">
      <w:pPr>
        <w:rPr>
          <w:sz w:val="20"/>
        </w:rPr>
      </w:pPr>
    </w:p>
    <w:p w:rsidR="008340A7" w:rsidRPr="00856DC5" w:rsidRDefault="008340A7" w:rsidP="008340A7">
      <w:pPr>
        <w:rPr>
          <w:sz w:val="20"/>
        </w:rPr>
      </w:pPr>
    </w:p>
    <w:p w:rsidR="008340A7" w:rsidRPr="007229C7" w:rsidRDefault="008340A7" w:rsidP="008340A7">
      <w:pPr>
        <w:jc w:val="center"/>
      </w:pPr>
      <w:r w:rsidRPr="007229C7">
        <w:lastRenderedPageBreak/>
        <w:t xml:space="preserve"> </w:t>
      </w:r>
      <w:r>
        <w:rPr>
          <w:noProof/>
        </w:rPr>
        <w:drawing>
          <wp:inline distT="0" distB="0" distL="0" distR="0">
            <wp:extent cx="4914900" cy="404812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14900" cy="4048125"/>
                    </a:xfrm>
                    <a:prstGeom prst="rect">
                      <a:avLst/>
                    </a:prstGeom>
                    <a:noFill/>
                    <a:ln w="9525">
                      <a:noFill/>
                      <a:miter lim="800000"/>
                      <a:headEnd/>
                      <a:tailEnd/>
                    </a:ln>
                  </pic:spPr>
                </pic:pic>
              </a:graphicData>
            </a:graphic>
          </wp:inline>
        </w:drawing>
      </w:r>
    </w:p>
    <w:p w:rsidR="008340A7" w:rsidRDefault="008340A7" w:rsidP="008340A7">
      <w:pPr>
        <w:pStyle w:val="Caption"/>
      </w:pPr>
      <w:bookmarkStart w:id="13" w:name="_Ref256586765"/>
      <w:r>
        <w:t xml:space="preserve">Figure </w:t>
      </w:r>
      <w:fldSimple w:instr=" SEQ Figure \* ARABIC ">
        <w:r>
          <w:rPr>
            <w:noProof/>
          </w:rPr>
          <w:t>3</w:t>
        </w:r>
      </w:fldSimple>
      <w:bookmarkEnd w:id="13"/>
      <w:r>
        <w:t xml:space="preserve"> PXL ground paths. Note high impedance connections between power supplies and platform/rack ground. RDO boards are isolated from TDO crate GND. </w:t>
      </w:r>
    </w:p>
    <w:p w:rsidR="008340A7" w:rsidRDefault="008340A7" w:rsidP="008340A7"/>
    <w:p w:rsidR="008340A7" w:rsidRDefault="008340A7" w:rsidP="008340A7">
      <w:pPr>
        <w:keepNext/>
      </w:pPr>
      <w:r>
        <w:rPr>
          <w:noProof/>
        </w:rPr>
        <w:lastRenderedPageBreak/>
        <w:drawing>
          <wp:inline distT="0" distB="0" distL="0" distR="0">
            <wp:extent cx="5943600" cy="3552825"/>
            <wp:effectExtent l="0" t="0" r="0" b="0"/>
            <wp:docPr id="30"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62800" cy="4279900"/>
                      <a:chOff x="685800" y="673100"/>
                      <a:chExt cx="7162800" cy="4279900"/>
                    </a:xfrm>
                  </a:grpSpPr>
                  <a:pic>
                    <a:nvPicPr>
                      <a:cNvPr id="7172" name="Picture 2"/>
                      <a:cNvPicPr>
                        <a:picLocks noChangeAspect="1" noChangeArrowheads="1"/>
                      </a:cNvPicPr>
                    </a:nvPicPr>
                    <a:blipFill>
                      <a:blip r:embed="rId11">
                        <a:lum bright="10000" contrast="10000"/>
                      </a:blip>
                      <a:srcRect/>
                      <a:stretch>
                        <a:fillRect/>
                      </a:stretch>
                    </a:blipFill>
                    <a:spPr bwMode="auto">
                      <a:xfrm>
                        <a:off x="1447800" y="673100"/>
                        <a:ext cx="6400800" cy="4279900"/>
                      </a:xfrm>
                      <a:prstGeom prst="rect">
                        <a:avLst/>
                      </a:prstGeom>
                      <a:noFill/>
                      <a:ln w="9525">
                        <a:noFill/>
                        <a:miter lim="800000"/>
                        <a:headEnd/>
                        <a:tailEnd/>
                      </a:ln>
                    </a:spPr>
                  </a:pic>
                  <a:sp>
                    <a:nvSpPr>
                      <a:cNvPr id="5" name="Rectangle 4"/>
                      <a:cNvSpPr/>
                    </a:nvSpPr>
                    <a:spPr>
                      <a:xfrm>
                        <a:off x="1295400" y="2590800"/>
                        <a:ext cx="121919" cy="533400"/>
                      </a:xfrm>
                      <a:prstGeom prst="rect">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685800" y="2514600"/>
                        <a:ext cx="559769" cy="646331"/>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PXL </a:t>
                          </a:r>
                        </a:p>
                        <a:p>
                          <a:r>
                            <a:rPr lang="en-US" sz="1200" dirty="0" smtClean="0"/>
                            <a:t>patch</a:t>
                          </a:r>
                        </a:p>
                        <a:p>
                          <a:r>
                            <a:rPr lang="en-US" sz="1200" dirty="0" smtClean="0"/>
                            <a:t>panel</a:t>
                          </a:r>
                          <a:endParaRPr lang="en-US" sz="1200" dirty="0"/>
                        </a:p>
                      </a:txBody>
                      <a:useSpRect/>
                    </a:txSp>
                  </a:sp>
                </lc:lockedCanvas>
              </a:graphicData>
            </a:graphic>
          </wp:inline>
        </w:drawing>
      </w:r>
    </w:p>
    <w:p w:rsidR="008340A7" w:rsidRDefault="008340A7" w:rsidP="008340A7">
      <w:pPr>
        <w:pStyle w:val="Caption"/>
      </w:pPr>
      <w:bookmarkStart w:id="14" w:name="_Ref257751308"/>
      <w:r>
        <w:t xml:space="preserve">Figure </w:t>
      </w:r>
      <w:fldSimple w:instr=" SEQ Figure \* ARABIC ">
        <w:r>
          <w:rPr>
            <w:noProof/>
          </w:rPr>
          <w:t>4</w:t>
        </w:r>
      </w:fldSimple>
      <w:bookmarkEnd w:id="14"/>
      <w:r>
        <w:t xml:space="preserve"> </w:t>
      </w:r>
      <w:proofErr w:type="gramStart"/>
      <w:r>
        <w:t>The</w:t>
      </w:r>
      <w:proofErr w:type="gramEnd"/>
      <w:r>
        <w:t xml:space="preserve"> PXL faraday enclosure consists of the PST, PIT and PXL patch panel.</w:t>
      </w:r>
    </w:p>
    <w:p w:rsidR="008340A7" w:rsidRPr="008D3D9B" w:rsidRDefault="008340A7" w:rsidP="008340A7"/>
    <w:p w:rsidR="00F83B0A" w:rsidRDefault="008340A7" w:rsidP="00F83B0A">
      <w:pPr>
        <w:jc w:val="both"/>
        <w:rPr>
          <w:sz w:val="20"/>
        </w:rPr>
      </w:pPr>
      <w:r w:rsidRPr="00856DC5">
        <w:rPr>
          <w:sz w:val="20"/>
        </w:rPr>
        <w:t xml:space="preserve">The above description of the single detector module is extendable to the complete PXL system. The only additions are fan out power connections between the patch panel and MTBs and inside the RDO crate that allow for the distribution of power to 10 cards in each crate. The complete view of the PXL detector grounding paths and signal paths is presented in </w:t>
      </w:r>
      <w:fldSimple w:instr=" REF _Ref256772062 \h  \* MERGEFORMAT ">
        <w:r w:rsidRPr="00856DC5">
          <w:rPr>
            <w:sz w:val="20"/>
          </w:rPr>
          <w:t xml:space="preserve">Figure </w:t>
        </w:r>
        <w:r w:rsidRPr="00856DC5">
          <w:rPr>
            <w:noProof/>
            <w:sz w:val="20"/>
          </w:rPr>
          <w:t>4</w:t>
        </w:r>
      </w:fldSimple>
      <w:r w:rsidR="00F83B0A">
        <w:rPr>
          <w:sz w:val="20"/>
        </w:rPr>
        <w:t>.</w:t>
      </w:r>
    </w:p>
    <w:p w:rsidR="00F83B0A" w:rsidRDefault="00F83B0A">
      <w:pPr>
        <w:spacing w:before="0"/>
        <w:rPr>
          <w:sz w:val="20"/>
        </w:rPr>
      </w:pPr>
      <w:r>
        <w:rPr>
          <w:sz w:val="20"/>
        </w:rPr>
        <w:br w:type="page"/>
      </w:r>
    </w:p>
    <w:p w:rsidR="008340A7" w:rsidRPr="00F83B0A" w:rsidRDefault="008340A7" w:rsidP="00F83B0A">
      <w:pPr>
        <w:jc w:val="both"/>
        <w:rPr>
          <w:sz w:val="20"/>
        </w:rPr>
        <w:sectPr w:rsidR="008340A7" w:rsidRPr="00F83B0A">
          <w:pgSz w:w="12240" w:h="15840"/>
          <w:pgMar w:top="1440" w:right="1800" w:bottom="1440" w:left="1800" w:header="720" w:footer="720" w:gutter="0"/>
          <w:cols w:space="720"/>
          <w:docGrid w:linePitch="360"/>
        </w:sectPr>
      </w:pPr>
    </w:p>
    <w:p w:rsidR="008340A7" w:rsidRDefault="008340A7" w:rsidP="008340A7">
      <w:pPr>
        <w:jc w:val="both"/>
      </w:pPr>
      <w:r>
        <w:rPr>
          <w:noProof/>
        </w:rPr>
        <w:lastRenderedPageBreak/>
        <w:drawing>
          <wp:inline distT="0" distB="0" distL="0" distR="0">
            <wp:extent cx="8924925" cy="50673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8924925" cy="5067300"/>
                    </a:xfrm>
                    <a:prstGeom prst="rect">
                      <a:avLst/>
                    </a:prstGeom>
                    <a:noFill/>
                    <a:ln w="9525">
                      <a:noFill/>
                      <a:miter lim="800000"/>
                      <a:headEnd/>
                      <a:tailEnd/>
                    </a:ln>
                  </pic:spPr>
                </pic:pic>
              </a:graphicData>
            </a:graphic>
          </wp:inline>
        </w:drawing>
      </w:r>
    </w:p>
    <w:p w:rsidR="00440E3B" w:rsidRDefault="008340A7" w:rsidP="008340A7">
      <w:pPr>
        <w:pStyle w:val="Caption"/>
      </w:pPr>
      <w:bookmarkStart w:id="15" w:name="_Ref256772062"/>
      <w:r w:rsidRPr="00AA7377">
        <w:t xml:space="preserve">Figure </w:t>
      </w:r>
      <w:fldSimple w:instr=" SEQ Figure \* ARABIC ">
        <w:r>
          <w:rPr>
            <w:noProof/>
          </w:rPr>
          <w:t>5</w:t>
        </w:r>
      </w:fldSimple>
      <w:bookmarkEnd w:id="15"/>
      <w:r>
        <w:t xml:space="preserve"> Overview of the PXL detector system grounding and signal paths.</w:t>
      </w:r>
    </w:p>
    <w:p w:rsidR="008340A7" w:rsidRDefault="008340A7" w:rsidP="008340A7"/>
    <w:p w:rsidR="00F83B0A" w:rsidRDefault="00F83B0A">
      <w:pPr>
        <w:spacing w:before="0"/>
        <w:sectPr w:rsidR="00F83B0A">
          <w:headerReference w:type="default" r:id="rId13"/>
          <w:endnotePr>
            <w:numFmt w:val="decimal"/>
          </w:endnotePr>
          <w:pgSz w:w="16839" w:h="11907" w:orient="landscape" w:code="9"/>
          <w:pgMar w:top="850" w:right="0" w:bottom="850" w:left="360" w:header="720" w:footer="720" w:gutter="0"/>
          <w:cols w:space="720"/>
          <w:docGrid w:linePitch="245"/>
        </w:sectPr>
      </w:pPr>
      <w:r>
        <w:br w:type="page"/>
      </w:r>
    </w:p>
    <w:p w:rsidR="00F83B0A" w:rsidRDefault="00F83B0A">
      <w:pPr>
        <w:spacing w:before="0"/>
      </w:pPr>
    </w:p>
    <w:p w:rsidR="00F83B0A" w:rsidRDefault="00F83B0A">
      <w:pPr>
        <w:spacing w:before="0"/>
      </w:pPr>
    </w:p>
    <w:p w:rsidR="00F83B0A" w:rsidRDefault="00F83B0A" w:rsidP="00F83B0A">
      <w:pPr>
        <w:pStyle w:val="Heading1"/>
      </w:pPr>
      <w:bookmarkStart w:id="16" w:name="_Toc282783955"/>
      <w:r>
        <w:t>IST Grounding Plan</w:t>
      </w:r>
      <w:bookmarkEnd w:id="16"/>
    </w:p>
    <w:p w:rsidR="00EE7314" w:rsidRDefault="00EE7314" w:rsidP="00EE7314">
      <w:pPr>
        <w:pStyle w:val="Text"/>
        <w:rPr>
          <w:lang w:val="en-GB"/>
        </w:rPr>
      </w:pPr>
      <w:r>
        <w:rPr>
          <w:lang w:val="en-GB"/>
        </w:rPr>
        <w:t>The two pictures below show the overal grounding scheme of the IST and the more detailed grounding layout of the Forward GEM Tracker (FGT), respectivily.</w:t>
      </w:r>
    </w:p>
    <w:p w:rsidR="00EE7314" w:rsidRPr="00EE7314" w:rsidRDefault="00EE7314" w:rsidP="00EE7314">
      <w:pPr>
        <w:pStyle w:val="Text"/>
        <w:rPr>
          <w:lang w:val="en-GB"/>
        </w:rPr>
      </w:pPr>
      <w:r>
        <w:rPr>
          <w:lang w:val="en-GB"/>
        </w:rPr>
        <w:t>The FGT scheme is very similar to the one which will be used for the IST. Both systems make use of the same APV readout chips and, for all practical purposes, identical readout systems.</w:t>
      </w:r>
      <w:r w:rsidR="00AA0F60">
        <w:rPr>
          <w:lang w:val="en-GB"/>
        </w:rPr>
        <w:t xml:space="preserve"> The main difference is the location of the voltage regulators. In the case of the FGT the voltage regulators are located directly on the detectors, while for the FGT they are outside of the field cage.</w:t>
      </w:r>
    </w:p>
    <w:p w:rsidR="00F83B0A" w:rsidRDefault="00EE7314" w:rsidP="008340A7">
      <w:r>
        <w:rPr>
          <w:noProof/>
        </w:rPr>
        <w:drawing>
          <wp:inline distT="0" distB="0" distL="0" distR="0">
            <wp:extent cx="6481445" cy="3874135"/>
            <wp:effectExtent l="19050" t="0" r="0" b="0"/>
            <wp:docPr id="2" name="Picture 1" descr="IST_Readout_System_23Mar2010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Readout_System_23Mar2010_GIF.gif"/>
                    <pic:cNvPicPr/>
                  </pic:nvPicPr>
                  <pic:blipFill>
                    <a:blip r:embed="rId14" cstate="print"/>
                    <a:stretch>
                      <a:fillRect/>
                    </a:stretch>
                  </pic:blipFill>
                  <pic:spPr>
                    <a:xfrm>
                      <a:off x="0" y="0"/>
                      <a:ext cx="6481445" cy="3874135"/>
                    </a:xfrm>
                    <a:prstGeom prst="rect">
                      <a:avLst/>
                    </a:prstGeom>
                  </pic:spPr>
                </pic:pic>
              </a:graphicData>
            </a:graphic>
          </wp:inline>
        </w:drawing>
      </w:r>
    </w:p>
    <w:p w:rsidR="00F83B0A" w:rsidRDefault="00F83B0A" w:rsidP="008340A7"/>
    <w:p w:rsidR="007728A1" w:rsidRDefault="00EE7314" w:rsidP="008340A7">
      <w:r>
        <w:rPr>
          <w:noProof/>
        </w:rPr>
        <w:lastRenderedPageBreak/>
        <w:drawing>
          <wp:inline distT="0" distB="0" distL="0" distR="0">
            <wp:extent cx="6481445" cy="4830445"/>
            <wp:effectExtent l="19050" t="0" r="0" b="0"/>
            <wp:docPr id="3" name="Picture 2" descr="FGT_GroundingDiagram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T_GroundingDiagram_GIF.gif"/>
                    <pic:cNvPicPr/>
                  </pic:nvPicPr>
                  <pic:blipFill>
                    <a:blip r:embed="rId15" cstate="print"/>
                    <a:stretch>
                      <a:fillRect/>
                    </a:stretch>
                  </pic:blipFill>
                  <pic:spPr>
                    <a:xfrm>
                      <a:off x="0" y="0"/>
                      <a:ext cx="6481445" cy="4830445"/>
                    </a:xfrm>
                    <a:prstGeom prst="rect">
                      <a:avLst/>
                    </a:prstGeom>
                  </pic:spPr>
                </pic:pic>
              </a:graphicData>
            </a:graphic>
          </wp:inline>
        </w:drawing>
      </w:r>
    </w:p>
    <w:p w:rsidR="007728A1" w:rsidRDefault="007728A1" w:rsidP="008340A7"/>
    <w:p w:rsidR="007728A1" w:rsidRDefault="007728A1" w:rsidP="008340A7"/>
    <w:p w:rsidR="007728A1" w:rsidRDefault="007728A1" w:rsidP="007728A1">
      <w:pPr>
        <w:pStyle w:val="Heading1"/>
      </w:pPr>
      <w:bookmarkStart w:id="17" w:name="_Toc282783956"/>
      <w:r>
        <w:t>SSD Grounding Plan</w:t>
      </w:r>
      <w:bookmarkEnd w:id="17"/>
    </w:p>
    <w:p w:rsidR="007728A1" w:rsidRDefault="007728A1" w:rsidP="008340A7"/>
    <w:p w:rsidR="007728A1" w:rsidRDefault="007728A1" w:rsidP="008340A7"/>
    <w:p w:rsidR="007728A1" w:rsidRPr="008340A7" w:rsidRDefault="001C058A" w:rsidP="008340A7">
      <w:r>
        <w:rPr>
          <w:noProof/>
        </w:rPr>
        <w:lastRenderedPageBreak/>
        <w:drawing>
          <wp:inline distT="0" distB="0" distL="0" distR="0">
            <wp:extent cx="6477000" cy="5003800"/>
            <wp:effectExtent l="0" t="0" r="0" b="0"/>
            <wp:docPr id="1" name="Picture 1" descr=":Cable Plant_V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le Plant_V7.pdf"/>
                    <pic:cNvPicPr>
                      <a:picLocks noChangeAspect="1" noChangeArrowheads="1"/>
                    </pic:cNvPicPr>
                  </pic:nvPicPr>
                  <pic:blipFill>
                    <a:blip r:embed="rId16" cstate="print"/>
                    <a:srcRect/>
                    <a:stretch>
                      <a:fillRect/>
                    </a:stretch>
                  </pic:blipFill>
                  <pic:spPr bwMode="auto">
                    <a:xfrm>
                      <a:off x="0" y="0"/>
                      <a:ext cx="6477000" cy="5003800"/>
                    </a:xfrm>
                    <a:prstGeom prst="rect">
                      <a:avLst/>
                    </a:prstGeom>
                    <a:noFill/>
                    <a:ln w="9525">
                      <a:noFill/>
                      <a:miter lim="800000"/>
                      <a:headEnd/>
                      <a:tailEnd/>
                    </a:ln>
                  </pic:spPr>
                </pic:pic>
              </a:graphicData>
            </a:graphic>
          </wp:inline>
        </w:drawing>
      </w:r>
    </w:p>
    <w:sectPr w:rsidR="007728A1" w:rsidRPr="008340A7" w:rsidSect="00F83B0A">
      <w:endnotePr>
        <w:numFmt w:val="decimal"/>
      </w:endnotePr>
      <w:pgSz w:w="11907" w:h="16839" w:code="9"/>
      <w:pgMar w:top="0" w:right="850" w:bottom="360" w:left="85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46A" w:rsidRDefault="000B546A">
      <w:r>
        <w:separator/>
      </w:r>
    </w:p>
  </w:endnote>
  <w:endnote w:type="continuationSeparator" w:id="0">
    <w:p w:rsidR="000B546A" w:rsidRDefault="000B54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46A" w:rsidRDefault="000B546A">
      <w:r>
        <w:separator/>
      </w:r>
    </w:p>
  </w:footnote>
  <w:footnote w:type="continuationSeparator" w:id="0">
    <w:p w:rsidR="000B546A" w:rsidRDefault="000B5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9"/>
      <w:gridCol w:w="1871"/>
    </w:tblGrid>
    <w:tr w:rsidR="00EE7314">
      <w:trPr>
        <w:cantSplit/>
        <w:trHeight w:hRule="exact" w:val="400"/>
        <w:jc w:val="right"/>
      </w:trPr>
      <w:tc>
        <w:tcPr>
          <w:tcW w:w="2869" w:type="dxa"/>
          <w:tcBorders>
            <w:bottom w:val="nil"/>
          </w:tcBorders>
        </w:tcPr>
        <w:p w:rsidR="00EE7314" w:rsidRDefault="00EE7314">
          <w:r>
            <w:t>HFT Project Document No:</w:t>
          </w:r>
        </w:p>
      </w:tc>
      <w:tc>
        <w:tcPr>
          <w:tcW w:w="1871" w:type="dxa"/>
        </w:tcPr>
        <w:p w:rsidR="00EE7314" w:rsidRDefault="00EE7314">
          <w:r>
            <w:t xml:space="preserve">Page: </w:t>
          </w:r>
          <w:r w:rsidR="00395309">
            <w:rPr>
              <w:rStyle w:val="PageNumber"/>
              <w:b/>
              <w:i w:val="0"/>
            </w:rPr>
            <w:fldChar w:fldCharType="begin"/>
          </w:r>
          <w:r>
            <w:rPr>
              <w:rStyle w:val="PageNumber"/>
              <w:b/>
              <w:i w:val="0"/>
            </w:rPr>
            <w:instrText xml:space="preserve"> PAGE </w:instrText>
          </w:r>
          <w:r w:rsidR="00395309">
            <w:rPr>
              <w:rStyle w:val="PageNumber"/>
              <w:b/>
              <w:i w:val="0"/>
            </w:rPr>
            <w:fldChar w:fldCharType="separate"/>
          </w:r>
          <w:r w:rsidR="001D0E55">
            <w:rPr>
              <w:rStyle w:val="PageNumber"/>
              <w:b/>
              <w:i w:val="0"/>
              <w:noProof/>
            </w:rPr>
            <w:t>11</w:t>
          </w:r>
          <w:r w:rsidR="00395309">
            <w:rPr>
              <w:rStyle w:val="PageNumber"/>
              <w:b/>
              <w:i w:val="0"/>
            </w:rPr>
            <w:fldChar w:fldCharType="end"/>
          </w:r>
          <w:r>
            <w:rPr>
              <w:rStyle w:val="PageNumber"/>
              <w:b/>
              <w:i w:val="0"/>
            </w:rPr>
            <w:t xml:space="preserve"> of </w:t>
          </w:r>
          <w:fldSimple w:instr=" NUMPAGES  \* MERGEFORMAT ">
            <w:r w:rsidR="001D0E55" w:rsidRPr="001D0E55">
              <w:rPr>
                <w:rStyle w:val="PageNumber"/>
                <w:noProof/>
              </w:rPr>
              <w:t>13</w:t>
            </w:r>
          </w:fldSimple>
        </w:p>
      </w:tc>
    </w:tr>
    <w:tr w:rsidR="00EE7314">
      <w:trPr>
        <w:cantSplit/>
        <w:trHeight w:hRule="exact" w:val="400"/>
        <w:jc w:val="right"/>
      </w:trPr>
      <w:tc>
        <w:tcPr>
          <w:tcW w:w="2869" w:type="dxa"/>
          <w:tcBorders>
            <w:top w:val="nil"/>
          </w:tcBorders>
        </w:tcPr>
        <w:p w:rsidR="00EE7314" w:rsidRDefault="00EE7314">
          <w:pPr>
            <w:pStyle w:val="Doc"/>
          </w:pPr>
          <w:r>
            <w:t>TBD</w:t>
          </w:r>
        </w:p>
      </w:tc>
      <w:tc>
        <w:tcPr>
          <w:tcW w:w="1871" w:type="dxa"/>
        </w:tcPr>
        <w:p w:rsidR="00EE7314" w:rsidRDefault="00EE7314">
          <w:r>
            <w:t xml:space="preserve">Rev. No.:4 </w:t>
          </w:r>
        </w:p>
      </w:tc>
    </w:tr>
  </w:tbl>
  <w:p w:rsidR="00EE7314" w:rsidRDefault="00EE7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B2C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1ADA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9A34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A685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DE95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7639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B88A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7872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F472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D2C4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8"/>
    <w:multiLevelType w:val="multilevel"/>
    <w:tmpl w:val="0000000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EE175B5"/>
    <w:multiLevelType w:val="hybridMultilevel"/>
    <w:tmpl w:val="F4F03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EC755B"/>
    <w:multiLevelType w:val="hybridMultilevel"/>
    <w:tmpl w:val="2BFCA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C5700C"/>
    <w:multiLevelType w:val="hybridMultilevel"/>
    <w:tmpl w:val="777AF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8B3284"/>
    <w:multiLevelType w:val="hybridMultilevel"/>
    <w:tmpl w:val="3D3E00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B7A52E1"/>
    <w:multiLevelType w:val="hybridMultilevel"/>
    <w:tmpl w:val="9D78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4"/>
  </w:num>
  <w:num w:numId="15">
    <w:abstractNumId w:val="13"/>
  </w:num>
  <w:num w:numId="1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activeWritingStyle w:appName="MSWord" w:lang="en-GB" w:vendorID="8" w:dllVersion="513" w:checkStyle="1"/>
  <w:proofState w:spelling="clean" w:grammar="clean"/>
  <w:attachedTemplate r:id="rId1"/>
  <w:stylePaneFormatFilter w:val="3701"/>
  <w:doNotTrackMoves/>
  <w:defaultTabStop w:val="720"/>
  <w:drawingGridHorizontalSpacing w:val="9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rsids>
    <w:rsidRoot w:val="00603D64"/>
    <w:rsid w:val="00010E16"/>
    <w:rsid w:val="000156E8"/>
    <w:rsid w:val="0002232B"/>
    <w:rsid w:val="00022CF3"/>
    <w:rsid w:val="0003213B"/>
    <w:rsid w:val="00034030"/>
    <w:rsid w:val="00046E02"/>
    <w:rsid w:val="00047517"/>
    <w:rsid w:val="0005513E"/>
    <w:rsid w:val="000621A5"/>
    <w:rsid w:val="000633DC"/>
    <w:rsid w:val="00072AED"/>
    <w:rsid w:val="000833E9"/>
    <w:rsid w:val="00093003"/>
    <w:rsid w:val="00094B8E"/>
    <w:rsid w:val="000A065D"/>
    <w:rsid w:val="000A3B91"/>
    <w:rsid w:val="000A7FA3"/>
    <w:rsid w:val="000B3BA3"/>
    <w:rsid w:val="000B546A"/>
    <w:rsid w:val="000D14E1"/>
    <w:rsid w:val="000E6D22"/>
    <w:rsid w:val="00100371"/>
    <w:rsid w:val="00100908"/>
    <w:rsid w:val="001072CF"/>
    <w:rsid w:val="00143623"/>
    <w:rsid w:val="00175689"/>
    <w:rsid w:val="0019048D"/>
    <w:rsid w:val="001A0DF9"/>
    <w:rsid w:val="001A3D94"/>
    <w:rsid w:val="001B71FB"/>
    <w:rsid w:val="001C058A"/>
    <w:rsid w:val="001D0E55"/>
    <w:rsid w:val="001D281B"/>
    <w:rsid w:val="001D4E76"/>
    <w:rsid w:val="001E245B"/>
    <w:rsid w:val="001E4677"/>
    <w:rsid w:val="001E6C0D"/>
    <w:rsid w:val="001F5E19"/>
    <w:rsid w:val="001F72C3"/>
    <w:rsid w:val="00212814"/>
    <w:rsid w:val="00231AE9"/>
    <w:rsid w:val="00241AC3"/>
    <w:rsid w:val="00247481"/>
    <w:rsid w:val="0025632F"/>
    <w:rsid w:val="00267258"/>
    <w:rsid w:val="002842D3"/>
    <w:rsid w:val="00290438"/>
    <w:rsid w:val="002913B5"/>
    <w:rsid w:val="00292196"/>
    <w:rsid w:val="002A17AB"/>
    <w:rsid w:val="002B4687"/>
    <w:rsid w:val="002C1A96"/>
    <w:rsid w:val="002C51DE"/>
    <w:rsid w:val="002C5347"/>
    <w:rsid w:val="002D76B1"/>
    <w:rsid w:val="002E3348"/>
    <w:rsid w:val="002F1CDD"/>
    <w:rsid w:val="002F1F5A"/>
    <w:rsid w:val="003012E1"/>
    <w:rsid w:val="003034C8"/>
    <w:rsid w:val="00323924"/>
    <w:rsid w:val="00330449"/>
    <w:rsid w:val="003361EE"/>
    <w:rsid w:val="00342DC0"/>
    <w:rsid w:val="0034526E"/>
    <w:rsid w:val="0035516A"/>
    <w:rsid w:val="00356D18"/>
    <w:rsid w:val="00366969"/>
    <w:rsid w:val="003678F3"/>
    <w:rsid w:val="003827BD"/>
    <w:rsid w:val="00390250"/>
    <w:rsid w:val="00395309"/>
    <w:rsid w:val="003A307E"/>
    <w:rsid w:val="003A5E8A"/>
    <w:rsid w:val="003A7AD0"/>
    <w:rsid w:val="003B0118"/>
    <w:rsid w:val="003D49BE"/>
    <w:rsid w:val="003D5583"/>
    <w:rsid w:val="003D7779"/>
    <w:rsid w:val="003E58B2"/>
    <w:rsid w:val="003F07D9"/>
    <w:rsid w:val="003F12B4"/>
    <w:rsid w:val="003F2796"/>
    <w:rsid w:val="0040074D"/>
    <w:rsid w:val="0040783C"/>
    <w:rsid w:val="00416A97"/>
    <w:rsid w:val="00423002"/>
    <w:rsid w:val="0043671D"/>
    <w:rsid w:val="00440E3B"/>
    <w:rsid w:val="004501B1"/>
    <w:rsid w:val="00454B57"/>
    <w:rsid w:val="00462116"/>
    <w:rsid w:val="00483BC9"/>
    <w:rsid w:val="0049218C"/>
    <w:rsid w:val="004A5E60"/>
    <w:rsid w:val="004D6965"/>
    <w:rsid w:val="004D740A"/>
    <w:rsid w:val="004F660A"/>
    <w:rsid w:val="005325D0"/>
    <w:rsid w:val="00536459"/>
    <w:rsid w:val="00554167"/>
    <w:rsid w:val="005571BF"/>
    <w:rsid w:val="005612EC"/>
    <w:rsid w:val="00582894"/>
    <w:rsid w:val="005A7D63"/>
    <w:rsid w:val="005D293E"/>
    <w:rsid w:val="005E715D"/>
    <w:rsid w:val="00603D64"/>
    <w:rsid w:val="00603F62"/>
    <w:rsid w:val="006163BD"/>
    <w:rsid w:val="00625746"/>
    <w:rsid w:val="0062785E"/>
    <w:rsid w:val="00631B9E"/>
    <w:rsid w:val="0064762E"/>
    <w:rsid w:val="00652B9D"/>
    <w:rsid w:val="00657416"/>
    <w:rsid w:val="00663127"/>
    <w:rsid w:val="00664BF0"/>
    <w:rsid w:val="00666388"/>
    <w:rsid w:val="00674CFE"/>
    <w:rsid w:val="006878C7"/>
    <w:rsid w:val="00691073"/>
    <w:rsid w:val="006A2B17"/>
    <w:rsid w:val="006A4C5D"/>
    <w:rsid w:val="006B7B9A"/>
    <w:rsid w:val="006C6121"/>
    <w:rsid w:val="006D2AC0"/>
    <w:rsid w:val="006D5408"/>
    <w:rsid w:val="006F2D9A"/>
    <w:rsid w:val="006F3C5E"/>
    <w:rsid w:val="00701628"/>
    <w:rsid w:val="007032ED"/>
    <w:rsid w:val="00713B8F"/>
    <w:rsid w:val="007203F8"/>
    <w:rsid w:val="00732261"/>
    <w:rsid w:val="007367E6"/>
    <w:rsid w:val="0075288F"/>
    <w:rsid w:val="00766253"/>
    <w:rsid w:val="007709CC"/>
    <w:rsid w:val="007728A1"/>
    <w:rsid w:val="00776258"/>
    <w:rsid w:val="00781A3A"/>
    <w:rsid w:val="007D2A7D"/>
    <w:rsid w:val="007E3218"/>
    <w:rsid w:val="007E515E"/>
    <w:rsid w:val="007F2CC8"/>
    <w:rsid w:val="00800F75"/>
    <w:rsid w:val="0081789B"/>
    <w:rsid w:val="0082155D"/>
    <w:rsid w:val="008219A8"/>
    <w:rsid w:val="008224F3"/>
    <w:rsid w:val="008226F4"/>
    <w:rsid w:val="00823B88"/>
    <w:rsid w:val="00827FEE"/>
    <w:rsid w:val="008340A7"/>
    <w:rsid w:val="00837B73"/>
    <w:rsid w:val="00852272"/>
    <w:rsid w:val="00856DC5"/>
    <w:rsid w:val="00861300"/>
    <w:rsid w:val="0086209A"/>
    <w:rsid w:val="00866982"/>
    <w:rsid w:val="00871409"/>
    <w:rsid w:val="008816F6"/>
    <w:rsid w:val="008945E1"/>
    <w:rsid w:val="008A6A83"/>
    <w:rsid w:val="008C0EEB"/>
    <w:rsid w:val="008C7ABC"/>
    <w:rsid w:val="008E7EE0"/>
    <w:rsid w:val="008F1AA3"/>
    <w:rsid w:val="008F25FC"/>
    <w:rsid w:val="008F6DAB"/>
    <w:rsid w:val="00905C15"/>
    <w:rsid w:val="0092080A"/>
    <w:rsid w:val="0095308B"/>
    <w:rsid w:val="00955141"/>
    <w:rsid w:val="00963E8C"/>
    <w:rsid w:val="00963F9A"/>
    <w:rsid w:val="00971272"/>
    <w:rsid w:val="009843FF"/>
    <w:rsid w:val="00985F6D"/>
    <w:rsid w:val="009917FF"/>
    <w:rsid w:val="009A35A6"/>
    <w:rsid w:val="009B3B47"/>
    <w:rsid w:val="009B6177"/>
    <w:rsid w:val="009B6F58"/>
    <w:rsid w:val="009C2A58"/>
    <w:rsid w:val="009C66BD"/>
    <w:rsid w:val="009F134D"/>
    <w:rsid w:val="00A06F7B"/>
    <w:rsid w:val="00A0765B"/>
    <w:rsid w:val="00A1218E"/>
    <w:rsid w:val="00A126C4"/>
    <w:rsid w:val="00A17B8F"/>
    <w:rsid w:val="00A31C8E"/>
    <w:rsid w:val="00A33324"/>
    <w:rsid w:val="00A3776C"/>
    <w:rsid w:val="00A41EAD"/>
    <w:rsid w:val="00A43A61"/>
    <w:rsid w:val="00A4554D"/>
    <w:rsid w:val="00A57A88"/>
    <w:rsid w:val="00A65CDE"/>
    <w:rsid w:val="00A66706"/>
    <w:rsid w:val="00A732BE"/>
    <w:rsid w:val="00A8098B"/>
    <w:rsid w:val="00A909C5"/>
    <w:rsid w:val="00AA0F60"/>
    <w:rsid w:val="00AA33D8"/>
    <w:rsid w:val="00AA6A7E"/>
    <w:rsid w:val="00AB2819"/>
    <w:rsid w:val="00AB3AF6"/>
    <w:rsid w:val="00AC5CCC"/>
    <w:rsid w:val="00AC71E0"/>
    <w:rsid w:val="00AD0439"/>
    <w:rsid w:val="00AD46DD"/>
    <w:rsid w:val="00B121E3"/>
    <w:rsid w:val="00B1324C"/>
    <w:rsid w:val="00B17C98"/>
    <w:rsid w:val="00B2037E"/>
    <w:rsid w:val="00B2448E"/>
    <w:rsid w:val="00B35AF7"/>
    <w:rsid w:val="00B423FE"/>
    <w:rsid w:val="00B46553"/>
    <w:rsid w:val="00B50872"/>
    <w:rsid w:val="00B673F3"/>
    <w:rsid w:val="00B67A6E"/>
    <w:rsid w:val="00B67D0E"/>
    <w:rsid w:val="00B7429A"/>
    <w:rsid w:val="00B7649D"/>
    <w:rsid w:val="00B86B79"/>
    <w:rsid w:val="00B917C9"/>
    <w:rsid w:val="00B9220E"/>
    <w:rsid w:val="00B93EEA"/>
    <w:rsid w:val="00B9557A"/>
    <w:rsid w:val="00BC016C"/>
    <w:rsid w:val="00BC0926"/>
    <w:rsid w:val="00BD2968"/>
    <w:rsid w:val="00BF507B"/>
    <w:rsid w:val="00C07BBD"/>
    <w:rsid w:val="00C15DBA"/>
    <w:rsid w:val="00C325EF"/>
    <w:rsid w:val="00C32623"/>
    <w:rsid w:val="00C44485"/>
    <w:rsid w:val="00C52326"/>
    <w:rsid w:val="00C52FD7"/>
    <w:rsid w:val="00C7273D"/>
    <w:rsid w:val="00CA6074"/>
    <w:rsid w:val="00CA7E8D"/>
    <w:rsid w:val="00CC2D68"/>
    <w:rsid w:val="00CC6D84"/>
    <w:rsid w:val="00CD0B69"/>
    <w:rsid w:val="00CD27A0"/>
    <w:rsid w:val="00CD772C"/>
    <w:rsid w:val="00CE1B71"/>
    <w:rsid w:val="00CF031B"/>
    <w:rsid w:val="00D246B9"/>
    <w:rsid w:val="00D40D1F"/>
    <w:rsid w:val="00D46870"/>
    <w:rsid w:val="00D65034"/>
    <w:rsid w:val="00D7031B"/>
    <w:rsid w:val="00D7447C"/>
    <w:rsid w:val="00D82050"/>
    <w:rsid w:val="00D924F2"/>
    <w:rsid w:val="00DB2127"/>
    <w:rsid w:val="00DC3461"/>
    <w:rsid w:val="00DD1FFE"/>
    <w:rsid w:val="00DD7870"/>
    <w:rsid w:val="00DF0CA1"/>
    <w:rsid w:val="00E00A09"/>
    <w:rsid w:val="00E011BA"/>
    <w:rsid w:val="00E0785A"/>
    <w:rsid w:val="00E53026"/>
    <w:rsid w:val="00E543D6"/>
    <w:rsid w:val="00E62172"/>
    <w:rsid w:val="00E641A6"/>
    <w:rsid w:val="00E72566"/>
    <w:rsid w:val="00E7446B"/>
    <w:rsid w:val="00E74A74"/>
    <w:rsid w:val="00E76B5A"/>
    <w:rsid w:val="00E80195"/>
    <w:rsid w:val="00E90C01"/>
    <w:rsid w:val="00E91BE8"/>
    <w:rsid w:val="00E9444E"/>
    <w:rsid w:val="00EA13D7"/>
    <w:rsid w:val="00ED719F"/>
    <w:rsid w:val="00EE7314"/>
    <w:rsid w:val="00F008C6"/>
    <w:rsid w:val="00F01CFC"/>
    <w:rsid w:val="00F02957"/>
    <w:rsid w:val="00F12FA3"/>
    <w:rsid w:val="00F25A2D"/>
    <w:rsid w:val="00F30369"/>
    <w:rsid w:val="00F33D5E"/>
    <w:rsid w:val="00F419BC"/>
    <w:rsid w:val="00F440D8"/>
    <w:rsid w:val="00F47DD9"/>
    <w:rsid w:val="00F47F14"/>
    <w:rsid w:val="00F75235"/>
    <w:rsid w:val="00F82C28"/>
    <w:rsid w:val="00F8324E"/>
    <w:rsid w:val="00F83B0A"/>
    <w:rsid w:val="00FB3B73"/>
    <w:rsid w:val="00FD0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58"/>
    <w:pPr>
      <w:spacing w:before="60"/>
    </w:pPr>
    <w:rPr>
      <w:i/>
      <w:sz w:val="18"/>
    </w:rPr>
  </w:style>
  <w:style w:type="paragraph" w:styleId="Heading1">
    <w:name w:val="heading 1"/>
    <w:next w:val="Text"/>
    <w:qFormat/>
    <w:rsid w:val="009C2A58"/>
    <w:pPr>
      <w:keepNext/>
      <w:numPr>
        <w:numId w:val="1"/>
      </w:numPr>
      <w:spacing w:before="240" w:after="120"/>
      <w:outlineLvl w:val="0"/>
    </w:pPr>
    <w:rPr>
      <w:b/>
      <w:sz w:val="28"/>
      <w:lang w:val="en-GB"/>
    </w:rPr>
  </w:style>
  <w:style w:type="paragraph" w:styleId="Heading2">
    <w:name w:val="heading 2"/>
    <w:basedOn w:val="Heading1"/>
    <w:next w:val="Text"/>
    <w:qFormat/>
    <w:rsid w:val="009C2A58"/>
    <w:pPr>
      <w:numPr>
        <w:ilvl w:val="1"/>
      </w:numPr>
      <w:spacing w:before="120" w:after="60"/>
      <w:outlineLvl w:val="1"/>
    </w:pPr>
    <w:rPr>
      <w:sz w:val="24"/>
    </w:rPr>
  </w:style>
  <w:style w:type="paragraph" w:styleId="Heading3">
    <w:name w:val="heading 3"/>
    <w:basedOn w:val="Heading2"/>
    <w:next w:val="Text"/>
    <w:qFormat/>
    <w:rsid w:val="009C2A58"/>
    <w:pPr>
      <w:numPr>
        <w:ilvl w:val="2"/>
      </w:numPr>
      <w:outlineLvl w:val="2"/>
    </w:pPr>
    <w:rPr>
      <w:i/>
      <w:sz w:val="22"/>
    </w:rPr>
  </w:style>
  <w:style w:type="paragraph" w:styleId="Heading4">
    <w:name w:val="heading 4"/>
    <w:basedOn w:val="Heading3"/>
    <w:next w:val="Text"/>
    <w:qFormat/>
    <w:rsid w:val="009C2A58"/>
    <w:pPr>
      <w:numPr>
        <w:ilvl w:val="3"/>
      </w:numPr>
      <w:outlineLvl w:val="3"/>
    </w:pPr>
    <w:rPr>
      <w:b w:val="0"/>
    </w:rPr>
  </w:style>
  <w:style w:type="paragraph" w:styleId="Heading5">
    <w:name w:val="heading 5"/>
    <w:basedOn w:val="Normal"/>
    <w:next w:val="Normal"/>
    <w:qFormat/>
    <w:rsid w:val="009C2A58"/>
    <w:pPr>
      <w:keepNext/>
      <w:spacing w:before="0"/>
      <w:jc w:val="center"/>
      <w:outlineLvl w:val="4"/>
    </w:pPr>
    <w:rPr>
      <w:rFonts w:ascii="Times New Roman" w:hAnsi="Times New Roman"/>
      <w:b/>
      <w:i w:val="0"/>
      <w:sz w:val="20"/>
    </w:rPr>
  </w:style>
  <w:style w:type="paragraph" w:styleId="Heading6">
    <w:name w:val="heading 6"/>
    <w:basedOn w:val="Normal"/>
    <w:next w:val="Normal"/>
    <w:qFormat/>
    <w:rsid w:val="009C2A58"/>
    <w:pPr>
      <w:spacing w:before="240" w:after="60"/>
      <w:outlineLvl w:val="5"/>
    </w:pPr>
    <w:rPr>
      <w:rFonts w:ascii="Times New Roman" w:hAnsi="Times New Roman"/>
      <w:i w:val="0"/>
      <w:sz w:val="22"/>
    </w:rPr>
  </w:style>
  <w:style w:type="paragraph" w:styleId="Heading7">
    <w:name w:val="heading 7"/>
    <w:basedOn w:val="Normal"/>
    <w:next w:val="Normal"/>
    <w:qFormat/>
    <w:rsid w:val="009C2A58"/>
    <w:pPr>
      <w:spacing w:before="240" w:after="60"/>
      <w:outlineLvl w:val="6"/>
    </w:pPr>
    <w:rPr>
      <w:rFonts w:ascii="Arial" w:hAnsi="Arial"/>
      <w:sz w:val="20"/>
    </w:rPr>
  </w:style>
  <w:style w:type="paragraph" w:styleId="Heading8">
    <w:name w:val="heading 8"/>
    <w:basedOn w:val="Normal"/>
    <w:next w:val="Normal"/>
    <w:qFormat/>
    <w:rsid w:val="009C2A58"/>
    <w:pPr>
      <w:spacing w:before="240" w:after="60"/>
      <w:outlineLvl w:val="7"/>
    </w:pPr>
    <w:rPr>
      <w:rFonts w:ascii="Arial" w:hAnsi="Arial"/>
      <w:i w:val="0"/>
      <w:sz w:val="20"/>
    </w:rPr>
  </w:style>
  <w:style w:type="paragraph" w:styleId="Heading9">
    <w:name w:val="heading 9"/>
    <w:basedOn w:val="Normal"/>
    <w:next w:val="Normal"/>
    <w:qFormat/>
    <w:rsid w:val="009C2A58"/>
    <w:pPr>
      <w:spacing w:before="240" w:after="60"/>
      <w:outlineLvl w:val="8"/>
    </w:pPr>
    <w:rPr>
      <w:rFonts w:ascii="Arial" w:hAnsi="Arial"/>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C2A58"/>
    <w:pPr>
      <w:spacing w:before="60"/>
      <w:ind w:left="851"/>
      <w:jc w:val="both"/>
    </w:pPr>
    <w:rPr>
      <w:noProof/>
      <w:sz w:val="22"/>
    </w:rPr>
  </w:style>
  <w:style w:type="paragraph" w:styleId="Header">
    <w:name w:val="header"/>
    <w:basedOn w:val="Normal"/>
    <w:rsid w:val="009C2A58"/>
    <w:pPr>
      <w:tabs>
        <w:tab w:val="center" w:pos="4320"/>
        <w:tab w:val="right" w:pos="8640"/>
      </w:tabs>
    </w:pPr>
  </w:style>
  <w:style w:type="paragraph" w:styleId="Footer">
    <w:name w:val="footer"/>
    <w:basedOn w:val="Normal"/>
    <w:rsid w:val="009C2A58"/>
    <w:pPr>
      <w:tabs>
        <w:tab w:val="center" w:pos="4320"/>
        <w:tab w:val="right" w:pos="8640"/>
      </w:tabs>
    </w:pPr>
  </w:style>
  <w:style w:type="character" w:styleId="CommentReference">
    <w:name w:val="annotation reference"/>
    <w:basedOn w:val="DefaultParagraphFont"/>
    <w:semiHidden/>
    <w:rsid w:val="009C2A58"/>
    <w:rPr>
      <w:sz w:val="16"/>
    </w:rPr>
  </w:style>
  <w:style w:type="paragraph" w:styleId="Title">
    <w:name w:val="Title"/>
    <w:basedOn w:val="Normal"/>
    <w:qFormat/>
    <w:rsid w:val="009C2A58"/>
    <w:pPr>
      <w:spacing w:before="240" w:after="60"/>
      <w:jc w:val="center"/>
    </w:pPr>
    <w:rPr>
      <w:b/>
      <w:i w:val="0"/>
      <w:kern w:val="28"/>
      <w:sz w:val="32"/>
    </w:rPr>
  </w:style>
  <w:style w:type="paragraph" w:styleId="CommentText">
    <w:name w:val="annotation text"/>
    <w:basedOn w:val="Normal"/>
    <w:link w:val="CommentTextChar"/>
    <w:semiHidden/>
    <w:rsid w:val="009C2A58"/>
  </w:style>
  <w:style w:type="paragraph" w:styleId="Subtitle">
    <w:name w:val="Subtitle"/>
    <w:basedOn w:val="Normal"/>
    <w:qFormat/>
    <w:rsid w:val="009C2A58"/>
    <w:pPr>
      <w:spacing w:after="60"/>
      <w:jc w:val="center"/>
    </w:pPr>
  </w:style>
  <w:style w:type="paragraph" w:customStyle="1" w:styleId="Ref">
    <w:name w:val="Ref."/>
    <w:rsid w:val="009C2A58"/>
    <w:pPr>
      <w:spacing w:before="60"/>
    </w:pPr>
    <w:rPr>
      <w:rFonts w:ascii="Helvetica" w:hAnsi="Helvetica"/>
      <w:b/>
      <w:noProof/>
      <w:sz w:val="18"/>
    </w:rPr>
  </w:style>
  <w:style w:type="character" w:styleId="PageNumber">
    <w:name w:val="page number"/>
    <w:basedOn w:val="DefaultParagraphFont"/>
    <w:rsid w:val="009C2A58"/>
  </w:style>
  <w:style w:type="paragraph" w:customStyle="1" w:styleId="Doc">
    <w:name w:val="Doc."/>
    <w:basedOn w:val="Ref"/>
    <w:rsid w:val="009C2A58"/>
    <w:pPr>
      <w:jc w:val="center"/>
    </w:pPr>
    <w:rPr>
      <w:sz w:val="24"/>
    </w:rPr>
  </w:style>
  <w:style w:type="paragraph" w:styleId="TOC1">
    <w:name w:val="toc 1"/>
    <w:next w:val="Normal"/>
    <w:autoRedefine/>
    <w:uiPriority w:val="39"/>
    <w:rsid w:val="009C2A58"/>
    <w:pPr>
      <w:spacing w:before="360"/>
    </w:pPr>
    <w:rPr>
      <w:rFonts w:ascii="Helvetica" w:hAnsi="Helvetica"/>
      <w:b/>
      <w:caps/>
      <w:sz w:val="24"/>
    </w:rPr>
  </w:style>
  <w:style w:type="paragraph" w:customStyle="1" w:styleId="TableT">
    <w:name w:val="TableT"/>
    <w:rsid w:val="009C2A58"/>
    <w:pPr>
      <w:jc w:val="center"/>
    </w:pPr>
    <w:rPr>
      <w:b/>
      <w:i/>
      <w:noProof/>
      <w:sz w:val="24"/>
    </w:rPr>
  </w:style>
  <w:style w:type="paragraph" w:customStyle="1" w:styleId="CellBody">
    <w:name w:val="CellBody"/>
    <w:rsid w:val="009C2A58"/>
    <w:pPr>
      <w:spacing w:before="60"/>
    </w:pPr>
    <w:rPr>
      <w:noProof/>
    </w:rPr>
  </w:style>
  <w:style w:type="paragraph" w:customStyle="1" w:styleId="CellHeading">
    <w:name w:val="CellHeading"/>
    <w:rsid w:val="009C2A58"/>
    <w:pPr>
      <w:jc w:val="center"/>
    </w:pPr>
    <w:rPr>
      <w:i/>
      <w:noProof/>
    </w:rPr>
  </w:style>
  <w:style w:type="paragraph" w:styleId="TOC2">
    <w:name w:val="toc 2"/>
    <w:basedOn w:val="TOC1"/>
    <w:next w:val="Normal"/>
    <w:autoRedefine/>
    <w:uiPriority w:val="39"/>
    <w:rsid w:val="009C2A58"/>
    <w:pPr>
      <w:spacing w:before="240"/>
    </w:pPr>
    <w:rPr>
      <w:rFonts w:ascii="Times" w:hAnsi="Times"/>
      <w:caps w:val="0"/>
      <w:sz w:val="20"/>
    </w:rPr>
  </w:style>
  <w:style w:type="paragraph" w:styleId="TOC3">
    <w:name w:val="toc 3"/>
    <w:basedOn w:val="TOC2"/>
    <w:next w:val="Normal"/>
    <w:autoRedefine/>
    <w:uiPriority w:val="39"/>
    <w:rsid w:val="009C2A58"/>
    <w:pPr>
      <w:spacing w:before="0"/>
      <w:ind w:left="180"/>
    </w:pPr>
    <w:rPr>
      <w:b w:val="0"/>
    </w:rPr>
  </w:style>
  <w:style w:type="paragraph" w:styleId="TOC4">
    <w:name w:val="toc 4"/>
    <w:basedOn w:val="TOC3"/>
    <w:next w:val="Normal"/>
    <w:autoRedefine/>
    <w:semiHidden/>
    <w:rsid w:val="009C2A58"/>
    <w:pPr>
      <w:ind w:left="360"/>
    </w:pPr>
  </w:style>
  <w:style w:type="paragraph" w:styleId="TOC5">
    <w:name w:val="toc 5"/>
    <w:basedOn w:val="Normal"/>
    <w:next w:val="Normal"/>
    <w:autoRedefine/>
    <w:semiHidden/>
    <w:rsid w:val="009C2A58"/>
    <w:pPr>
      <w:spacing w:before="0"/>
      <w:ind w:left="540"/>
    </w:pPr>
    <w:rPr>
      <w:i w:val="0"/>
      <w:sz w:val="20"/>
    </w:rPr>
  </w:style>
  <w:style w:type="paragraph" w:styleId="TOC6">
    <w:name w:val="toc 6"/>
    <w:basedOn w:val="Normal"/>
    <w:next w:val="Normal"/>
    <w:autoRedefine/>
    <w:semiHidden/>
    <w:rsid w:val="009C2A58"/>
    <w:pPr>
      <w:spacing w:before="0"/>
      <w:ind w:left="720"/>
    </w:pPr>
    <w:rPr>
      <w:i w:val="0"/>
      <w:sz w:val="20"/>
    </w:rPr>
  </w:style>
  <w:style w:type="paragraph" w:styleId="TOC7">
    <w:name w:val="toc 7"/>
    <w:basedOn w:val="Normal"/>
    <w:next w:val="Normal"/>
    <w:autoRedefine/>
    <w:semiHidden/>
    <w:rsid w:val="009C2A58"/>
    <w:pPr>
      <w:spacing w:before="0"/>
      <w:ind w:left="900"/>
    </w:pPr>
    <w:rPr>
      <w:i w:val="0"/>
      <w:sz w:val="20"/>
    </w:rPr>
  </w:style>
  <w:style w:type="paragraph" w:styleId="TOC8">
    <w:name w:val="toc 8"/>
    <w:basedOn w:val="Normal"/>
    <w:next w:val="Normal"/>
    <w:autoRedefine/>
    <w:semiHidden/>
    <w:rsid w:val="009C2A58"/>
    <w:pPr>
      <w:spacing w:before="0"/>
      <w:ind w:left="1080"/>
    </w:pPr>
    <w:rPr>
      <w:i w:val="0"/>
      <w:sz w:val="20"/>
    </w:rPr>
  </w:style>
  <w:style w:type="paragraph" w:styleId="TOC9">
    <w:name w:val="toc 9"/>
    <w:basedOn w:val="Normal"/>
    <w:next w:val="Normal"/>
    <w:autoRedefine/>
    <w:semiHidden/>
    <w:rsid w:val="009C2A58"/>
    <w:pPr>
      <w:spacing w:before="0"/>
      <w:ind w:left="1260"/>
    </w:pPr>
    <w:rPr>
      <w:i w:val="0"/>
      <w:sz w:val="20"/>
    </w:rPr>
  </w:style>
  <w:style w:type="character" w:styleId="EndnoteReference">
    <w:name w:val="endnote reference"/>
    <w:basedOn w:val="DefaultParagraphFont"/>
    <w:semiHidden/>
    <w:rsid w:val="009C2A58"/>
    <w:rPr>
      <w:vertAlign w:val="superscript"/>
    </w:rPr>
  </w:style>
  <w:style w:type="paragraph" w:styleId="Caption">
    <w:name w:val="caption"/>
    <w:basedOn w:val="Normal"/>
    <w:next w:val="Normal"/>
    <w:qFormat/>
    <w:rsid w:val="009C2A58"/>
    <w:pPr>
      <w:spacing w:before="120" w:after="120"/>
    </w:pPr>
    <w:rPr>
      <w:rFonts w:ascii="Times New Roman" w:hAnsi="Times New Roman"/>
      <w:b/>
      <w:i w:val="0"/>
      <w:sz w:val="20"/>
    </w:rPr>
  </w:style>
  <w:style w:type="paragraph" w:styleId="EndnoteText">
    <w:name w:val="endnote text"/>
    <w:basedOn w:val="Normal"/>
    <w:semiHidden/>
    <w:rsid w:val="009C2A58"/>
    <w:pPr>
      <w:spacing w:before="0"/>
    </w:pPr>
    <w:rPr>
      <w:rFonts w:ascii="Times New Roman" w:hAnsi="Times New Roman"/>
      <w:i w:val="0"/>
      <w:sz w:val="20"/>
    </w:rPr>
  </w:style>
  <w:style w:type="paragraph" w:styleId="BodyText">
    <w:name w:val="Body Text"/>
    <w:basedOn w:val="Normal"/>
    <w:rsid w:val="009C2A58"/>
    <w:pPr>
      <w:spacing w:before="0"/>
    </w:pPr>
    <w:rPr>
      <w:rFonts w:ascii="Times New Roman" w:hAnsi="Times New Roman"/>
      <w:i w:val="0"/>
      <w:color w:val="FF0000"/>
      <w:sz w:val="20"/>
    </w:rPr>
  </w:style>
  <w:style w:type="paragraph" w:styleId="BlockText">
    <w:name w:val="Block Text"/>
    <w:basedOn w:val="Normal"/>
    <w:rsid w:val="009C2A58"/>
    <w:pPr>
      <w:spacing w:after="120"/>
      <w:ind w:left="1440" w:right="1440"/>
    </w:pPr>
  </w:style>
  <w:style w:type="paragraph" w:styleId="BodyText2">
    <w:name w:val="Body Text 2"/>
    <w:basedOn w:val="Normal"/>
    <w:rsid w:val="009C2A58"/>
    <w:pPr>
      <w:spacing w:after="120" w:line="480" w:lineRule="auto"/>
    </w:pPr>
  </w:style>
  <w:style w:type="paragraph" w:styleId="BodyText3">
    <w:name w:val="Body Text 3"/>
    <w:basedOn w:val="Normal"/>
    <w:rsid w:val="009C2A58"/>
    <w:pPr>
      <w:spacing w:after="120"/>
    </w:pPr>
    <w:rPr>
      <w:sz w:val="16"/>
    </w:rPr>
  </w:style>
  <w:style w:type="paragraph" w:styleId="BodyTextFirstIndent">
    <w:name w:val="Body Text First Indent"/>
    <w:basedOn w:val="BodyText"/>
    <w:rsid w:val="009C2A58"/>
    <w:pPr>
      <w:spacing w:before="60" w:after="120"/>
      <w:ind w:firstLine="210"/>
    </w:pPr>
    <w:rPr>
      <w:rFonts w:ascii="Times" w:hAnsi="Times"/>
      <w:i/>
      <w:color w:val="auto"/>
      <w:sz w:val="18"/>
    </w:rPr>
  </w:style>
  <w:style w:type="paragraph" w:styleId="BodyTextIndent">
    <w:name w:val="Body Text Indent"/>
    <w:basedOn w:val="Normal"/>
    <w:rsid w:val="009C2A58"/>
    <w:pPr>
      <w:spacing w:after="120"/>
      <w:ind w:left="360"/>
    </w:pPr>
  </w:style>
  <w:style w:type="paragraph" w:styleId="BodyTextFirstIndent2">
    <w:name w:val="Body Text First Indent 2"/>
    <w:basedOn w:val="BodyTextIndent"/>
    <w:rsid w:val="009C2A58"/>
    <w:pPr>
      <w:ind w:firstLine="210"/>
    </w:pPr>
  </w:style>
  <w:style w:type="paragraph" w:styleId="BodyTextIndent2">
    <w:name w:val="Body Text Indent 2"/>
    <w:basedOn w:val="Normal"/>
    <w:rsid w:val="009C2A58"/>
    <w:pPr>
      <w:spacing w:after="120" w:line="480" w:lineRule="auto"/>
      <w:ind w:left="360"/>
    </w:pPr>
  </w:style>
  <w:style w:type="paragraph" w:styleId="BodyTextIndent3">
    <w:name w:val="Body Text Indent 3"/>
    <w:basedOn w:val="Normal"/>
    <w:rsid w:val="009C2A58"/>
    <w:pPr>
      <w:spacing w:after="120"/>
      <w:ind w:left="360"/>
    </w:pPr>
    <w:rPr>
      <w:sz w:val="16"/>
    </w:rPr>
  </w:style>
  <w:style w:type="paragraph" w:styleId="Closing">
    <w:name w:val="Closing"/>
    <w:basedOn w:val="Normal"/>
    <w:rsid w:val="009C2A58"/>
    <w:pPr>
      <w:ind w:left="4320"/>
    </w:pPr>
  </w:style>
  <w:style w:type="paragraph" w:styleId="Date">
    <w:name w:val="Date"/>
    <w:basedOn w:val="Normal"/>
    <w:next w:val="Normal"/>
    <w:rsid w:val="009C2A58"/>
  </w:style>
  <w:style w:type="paragraph" w:styleId="DocumentMap">
    <w:name w:val="Document Map"/>
    <w:basedOn w:val="Normal"/>
    <w:semiHidden/>
    <w:rsid w:val="009C2A58"/>
    <w:pPr>
      <w:shd w:val="clear" w:color="auto" w:fill="000080"/>
    </w:pPr>
    <w:rPr>
      <w:rFonts w:ascii="Tahoma" w:hAnsi="Tahoma"/>
    </w:rPr>
  </w:style>
  <w:style w:type="paragraph" w:styleId="EnvelopeAddress">
    <w:name w:val="envelope address"/>
    <w:basedOn w:val="Normal"/>
    <w:rsid w:val="009C2A58"/>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9C2A58"/>
    <w:rPr>
      <w:rFonts w:ascii="Arial" w:hAnsi="Arial"/>
      <w:sz w:val="20"/>
    </w:rPr>
  </w:style>
  <w:style w:type="paragraph" w:styleId="FootnoteText">
    <w:name w:val="footnote text"/>
    <w:basedOn w:val="Normal"/>
    <w:semiHidden/>
    <w:rsid w:val="009C2A58"/>
    <w:rPr>
      <w:sz w:val="20"/>
    </w:rPr>
  </w:style>
  <w:style w:type="paragraph" w:styleId="Index1">
    <w:name w:val="index 1"/>
    <w:basedOn w:val="Normal"/>
    <w:next w:val="Normal"/>
    <w:autoRedefine/>
    <w:semiHidden/>
    <w:rsid w:val="009C2A58"/>
    <w:pPr>
      <w:ind w:left="180" w:hanging="180"/>
    </w:pPr>
  </w:style>
  <w:style w:type="paragraph" w:styleId="Index2">
    <w:name w:val="index 2"/>
    <w:basedOn w:val="Normal"/>
    <w:next w:val="Normal"/>
    <w:autoRedefine/>
    <w:semiHidden/>
    <w:rsid w:val="009C2A58"/>
    <w:pPr>
      <w:ind w:left="360" w:hanging="180"/>
    </w:pPr>
  </w:style>
  <w:style w:type="paragraph" w:styleId="Index3">
    <w:name w:val="index 3"/>
    <w:basedOn w:val="Normal"/>
    <w:next w:val="Normal"/>
    <w:autoRedefine/>
    <w:semiHidden/>
    <w:rsid w:val="009C2A58"/>
    <w:pPr>
      <w:ind w:left="540" w:hanging="180"/>
    </w:pPr>
  </w:style>
  <w:style w:type="paragraph" w:styleId="Index4">
    <w:name w:val="index 4"/>
    <w:basedOn w:val="Normal"/>
    <w:next w:val="Normal"/>
    <w:autoRedefine/>
    <w:semiHidden/>
    <w:rsid w:val="009C2A58"/>
    <w:pPr>
      <w:ind w:left="720" w:hanging="180"/>
    </w:pPr>
  </w:style>
  <w:style w:type="paragraph" w:styleId="Index5">
    <w:name w:val="index 5"/>
    <w:basedOn w:val="Normal"/>
    <w:next w:val="Normal"/>
    <w:autoRedefine/>
    <w:semiHidden/>
    <w:rsid w:val="009C2A58"/>
    <w:pPr>
      <w:ind w:left="900" w:hanging="180"/>
    </w:pPr>
  </w:style>
  <w:style w:type="paragraph" w:styleId="Index6">
    <w:name w:val="index 6"/>
    <w:basedOn w:val="Normal"/>
    <w:next w:val="Normal"/>
    <w:autoRedefine/>
    <w:semiHidden/>
    <w:rsid w:val="009C2A58"/>
    <w:pPr>
      <w:ind w:left="1080" w:hanging="180"/>
    </w:pPr>
  </w:style>
  <w:style w:type="paragraph" w:styleId="Index7">
    <w:name w:val="index 7"/>
    <w:basedOn w:val="Normal"/>
    <w:next w:val="Normal"/>
    <w:autoRedefine/>
    <w:semiHidden/>
    <w:rsid w:val="009C2A58"/>
    <w:pPr>
      <w:ind w:left="1260" w:hanging="180"/>
    </w:pPr>
  </w:style>
  <w:style w:type="paragraph" w:styleId="Index8">
    <w:name w:val="index 8"/>
    <w:basedOn w:val="Normal"/>
    <w:next w:val="Normal"/>
    <w:autoRedefine/>
    <w:semiHidden/>
    <w:rsid w:val="009C2A58"/>
    <w:pPr>
      <w:ind w:left="1440" w:hanging="180"/>
    </w:pPr>
  </w:style>
  <w:style w:type="paragraph" w:styleId="Index9">
    <w:name w:val="index 9"/>
    <w:basedOn w:val="Normal"/>
    <w:next w:val="Normal"/>
    <w:autoRedefine/>
    <w:semiHidden/>
    <w:rsid w:val="009C2A58"/>
    <w:pPr>
      <w:ind w:left="1620" w:hanging="180"/>
    </w:pPr>
  </w:style>
  <w:style w:type="paragraph" w:styleId="IndexHeading">
    <w:name w:val="index heading"/>
    <w:basedOn w:val="Normal"/>
    <w:next w:val="Index1"/>
    <w:semiHidden/>
    <w:rsid w:val="009C2A58"/>
    <w:rPr>
      <w:rFonts w:ascii="Arial" w:hAnsi="Arial"/>
      <w:b/>
    </w:rPr>
  </w:style>
  <w:style w:type="paragraph" w:styleId="List">
    <w:name w:val="List"/>
    <w:basedOn w:val="Normal"/>
    <w:rsid w:val="009C2A58"/>
    <w:pPr>
      <w:ind w:left="360" w:hanging="360"/>
    </w:pPr>
  </w:style>
  <w:style w:type="paragraph" w:styleId="List2">
    <w:name w:val="List 2"/>
    <w:basedOn w:val="Normal"/>
    <w:rsid w:val="009C2A58"/>
    <w:pPr>
      <w:ind w:left="720" w:hanging="360"/>
    </w:pPr>
  </w:style>
  <w:style w:type="paragraph" w:styleId="List3">
    <w:name w:val="List 3"/>
    <w:basedOn w:val="Normal"/>
    <w:rsid w:val="009C2A58"/>
    <w:pPr>
      <w:ind w:left="1080" w:hanging="360"/>
    </w:pPr>
  </w:style>
  <w:style w:type="paragraph" w:styleId="List4">
    <w:name w:val="List 4"/>
    <w:basedOn w:val="Normal"/>
    <w:rsid w:val="009C2A58"/>
    <w:pPr>
      <w:ind w:left="1440" w:hanging="360"/>
    </w:pPr>
  </w:style>
  <w:style w:type="paragraph" w:styleId="List5">
    <w:name w:val="List 5"/>
    <w:basedOn w:val="Normal"/>
    <w:rsid w:val="009C2A58"/>
    <w:pPr>
      <w:ind w:left="1800" w:hanging="360"/>
    </w:pPr>
  </w:style>
  <w:style w:type="paragraph" w:styleId="ListBullet">
    <w:name w:val="List Bullet"/>
    <w:basedOn w:val="Normal"/>
    <w:autoRedefine/>
    <w:rsid w:val="009C2A58"/>
    <w:pPr>
      <w:numPr>
        <w:numId w:val="2"/>
      </w:numPr>
    </w:pPr>
  </w:style>
  <w:style w:type="paragraph" w:styleId="ListBullet2">
    <w:name w:val="List Bullet 2"/>
    <w:basedOn w:val="Normal"/>
    <w:autoRedefine/>
    <w:rsid w:val="009C2A58"/>
    <w:pPr>
      <w:numPr>
        <w:numId w:val="3"/>
      </w:numPr>
    </w:pPr>
  </w:style>
  <w:style w:type="paragraph" w:styleId="ListBullet3">
    <w:name w:val="List Bullet 3"/>
    <w:basedOn w:val="Normal"/>
    <w:autoRedefine/>
    <w:rsid w:val="009C2A58"/>
    <w:pPr>
      <w:numPr>
        <w:numId w:val="4"/>
      </w:numPr>
    </w:pPr>
  </w:style>
  <w:style w:type="paragraph" w:styleId="ListBullet4">
    <w:name w:val="List Bullet 4"/>
    <w:basedOn w:val="Normal"/>
    <w:autoRedefine/>
    <w:rsid w:val="009C2A58"/>
    <w:pPr>
      <w:numPr>
        <w:numId w:val="5"/>
      </w:numPr>
    </w:pPr>
  </w:style>
  <w:style w:type="paragraph" w:styleId="ListBullet5">
    <w:name w:val="List Bullet 5"/>
    <w:basedOn w:val="Normal"/>
    <w:autoRedefine/>
    <w:rsid w:val="009C2A58"/>
    <w:pPr>
      <w:numPr>
        <w:numId w:val="6"/>
      </w:numPr>
    </w:pPr>
  </w:style>
  <w:style w:type="paragraph" w:styleId="ListContinue">
    <w:name w:val="List Continue"/>
    <w:basedOn w:val="Normal"/>
    <w:rsid w:val="009C2A58"/>
    <w:pPr>
      <w:spacing w:after="120"/>
      <w:ind w:left="360"/>
    </w:pPr>
  </w:style>
  <w:style w:type="paragraph" w:styleId="ListContinue2">
    <w:name w:val="List Continue 2"/>
    <w:basedOn w:val="Normal"/>
    <w:rsid w:val="009C2A58"/>
    <w:pPr>
      <w:spacing w:after="120"/>
      <w:ind w:left="720"/>
    </w:pPr>
  </w:style>
  <w:style w:type="paragraph" w:styleId="ListContinue3">
    <w:name w:val="List Continue 3"/>
    <w:basedOn w:val="Normal"/>
    <w:rsid w:val="009C2A58"/>
    <w:pPr>
      <w:spacing w:after="120"/>
      <w:ind w:left="1080"/>
    </w:pPr>
  </w:style>
  <w:style w:type="paragraph" w:styleId="ListContinue4">
    <w:name w:val="List Continue 4"/>
    <w:basedOn w:val="Normal"/>
    <w:rsid w:val="009C2A58"/>
    <w:pPr>
      <w:spacing w:after="120"/>
      <w:ind w:left="1440"/>
    </w:pPr>
  </w:style>
  <w:style w:type="paragraph" w:styleId="ListContinue5">
    <w:name w:val="List Continue 5"/>
    <w:basedOn w:val="Normal"/>
    <w:rsid w:val="009C2A58"/>
    <w:pPr>
      <w:spacing w:after="120"/>
      <w:ind w:left="1800"/>
    </w:pPr>
  </w:style>
  <w:style w:type="paragraph" w:styleId="ListNumber">
    <w:name w:val="List Number"/>
    <w:basedOn w:val="Normal"/>
    <w:rsid w:val="009C2A58"/>
    <w:pPr>
      <w:numPr>
        <w:numId w:val="7"/>
      </w:numPr>
    </w:pPr>
  </w:style>
  <w:style w:type="paragraph" w:styleId="ListNumber2">
    <w:name w:val="List Number 2"/>
    <w:basedOn w:val="Normal"/>
    <w:rsid w:val="009C2A58"/>
    <w:pPr>
      <w:numPr>
        <w:numId w:val="8"/>
      </w:numPr>
    </w:pPr>
  </w:style>
  <w:style w:type="paragraph" w:styleId="ListNumber3">
    <w:name w:val="List Number 3"/>
    <w:basedOn w:val="Normal"/>
    <w:rsid w:val="009C2A58"/>
    <w:pPr>
      <w:numPr>
        <w:numId w:val="9"/>
      </w:numPr>
    </w:pPr>
  </w:style>
  <w:style w:type="paragraph" w:styleId="ListNumber4">
    <w:name w:val="List Number 4"/>
    <w:basedOn w:val="Normal"/>
    <w:rsid w:val="009C2A58"/>
    <w:pPr>
      <w:numPr>
        <w:numId w:val="10"/>
      </w:numPr>
    </w:pPr>
  </w:style>
  <w:style w:type="paragraph" w:styleId="ListNumber5">
    <w:name w:val="List Number 5"/>
    <w:basedOn w:val="Normal"/>
    <w:rsid w:val="009C2A58"/>
    <w:pPr>
      <w:numPr>
        <w:numId w:val="11"/>
      </w:numPr>
    </w:pPr>
  </w:style>
  <w:style w:type="paragraph" w:styleId="MacroText">
    <w:name w:val="macro"/>
    <w:semiHidden/>
    <w:rsid w:val="009C2A5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i/>
    </w:rPr>
  </w:style>
  <w:style w:type="paragraph" w:styleId="MessageHeader">
    <w:name w:val="Message Header"/>
    <w:basedOn w:val="Normal"/>
    <w:rsid w:val="009C2A5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9C2A58"/>
    <w:pPr>
      <w:ind w:left="720"/>
    </w:pPr>
  </w:style>
  <w:style w:type="paragraph" w:styleId="NoteHeading">
    <w:name w:val="Note Heading"/>
    <w:basedOn w:val="Normal"/>
    <w:next w:val="Normal"/>
    <w:rsid w:val="009C2A58"/>
  </w:style>
  <w:style w:type="paragraph" w:styleId="PlainText">
    <w:name w:val="Plain Text"/>
    <w:basedOn w:val="Normal"/>
    <w:rsid w:val="009C2A58"/>
    <w:rPr>
      <w:rFonts w:ascii="Courier New" w:hAnsi="Courier New"/>
      <w:sz w:val="20"/>
    </w:rPr>
  </w:style>
  <w:style w:type="paragraph" w:styleId="Salutation">
    <w:name w:val="Salutation"/>
    <w:basedOn w:val="Normal"/>
    <w:next w:val="Normal"/>
    <w:rsid w:val="009C2A58"/>
  </w:style>
  <w:style w:type="paragraph" w:styleId="Signature">
    <w:name w:val="Signature"/>
    <w:basedOn w:val="Normal"/>
    <w:rsid w:val="009C2A58"/>
    <w:pPr>
      <w:ind w:left="4320"/>
    </w:pPr>
  </w:style>
  <w:style w:type="paragraph" w:styleId="TableofAuthorities">
    <w:name w:val="table of authorities"/>
    <w:basedOn w:val="Normal"/>
    <w:next w:val="Normal"/>
    <w:semiHidden/>
    <w:rsid w:val="009C2A58"/>
    <w:pPr>
      <w:ind w:left="180" w:hanging="180"/>
    </w:pPr>
  </w:style>
  <w:style w:type="paragraph" w:styleId="TableofFigures">
    <w:name w:val="table of figures"/>
    <w:basedOn w:val="Normal"/>
    <w:next w:val="Normal"/>
    <w:semiHidden/>
    <w:rsid w:val="009C2A58"/>
    <w:pPr>
      <w:ind w:left="360" w:hanging="360"/>
    </w:pPr>
  </w:style>
  <w:style w:type="paragraph" w:styleId="TOAHeading">
    <w:name w:val="toa heading"/>
    <w:basedOn w:val="Normal"/>
    <w:next w:val="Normal"/>
    <w:semiHidden/>
    <w:rsid w:val="009C2A58"/>
    <w:pPr>
      <w:spacing w:before="120"/>
    </w:pPr>
    <w:rPr>
      <w:rFonts w:ascii="Arial" w:hAnsi="Arial"/>
      <w:b/>
      <w:sz w:val="24"/>
    </w:rPr>
  </w:style>
  <w:style w:type="character" w:styleId="FootnoteReference">
    <w:name w:val="footnote reference"/>
    <w:basedOn w:val="DefaultParagraphFont"/>
    <w:semiHidden/>
    <w:rsid w:val="009C2A58"/>
    <w:rPr>
      <w:vertAlign w:val="superscript"/>
    </w:rPr>
  </w:style>
  <w:style w:type="paragraph" w:styleId="BalloonText">
    <w:name w:val="Balloon Text"/>
    <w:basedOn w:val="Normal"/>
    <w:semiHidden/>
    <w:rsid w:val="00C52326"/>
    <w:rPr>
      <w:rFonts w:ascii="Tahoma" w:hAnsi="Tahoma" w:cs="Tahoma"/>
      <w:sz w:val="16"/>
      <w:szCs w:val="16"/>
    </w:rPr>
  </w:style>
  <w:style w:type="table" w:styleId="TableGrid">
    <w:name w:val="Table Grid"/>
    <w:basedOn w:val="TableNormal"/>
    <w:rsid w:val="005A7D63"/>
    <w:pPr>
      <w:spacing w:before="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63F9A"/>
    <w:rPr>
      <w:i/>
      <w:iCs/>
    </w:rPr>
  </w:style>
  <w:style w:type="character" w:styleId="Hyperlink">
    <w:name w:val="Hyperlink"/>
    <w:basedOn w:val="DefaultParagraphFont"/>
    <w:rsid w:val="000D14E1"/>
    <w:rPr>
      <w:color w:val="0000FF"/>
      <w:u w:val="single"/>
    </w:rPr>
  </w:style>
  <w:style w:type="paragraph" w:styleId="CommentSubject">
    <w:name w:val="annotation subject"/>
    <w:basedOn w:val="CommentText"/>
    <w:next w:val="CommentText"/>
    <w:link w:val="CommentSubjectChar"/>
    <w:rsid w:val="00ED719F"/>
    <w:rPr>
      <w:b/>
      <w:bCs/>
      <w:sz w:val="20"/>
    </w:rPr>
  </w:style>
  <w:style w:type="character" w:customStyle="1" w:styleId="CommentTextChar">
    <w:name w:val="Comment Text Char"/>
    <w:basedOn w:val="DefaultParagraphFont"/>
    <w:link w:val="CommentText"/>
    <w:semiHidden/>
    <w:rsid w:val="00ED719F"/>
    <w:rPr>
      <w:i/>
      <w:sz w:val="18"/>
    </w:rPr>
  </w:style>
  <w:style w:type="character" w:customStyle="1" w:styleId="CommentSubjectChar">
    <w:name w:val="Comment Subject Char"/>
    <w:basedOn w:val="CommentTextChar"/>
    <w:link w:val="CommentSubject"/>
    <w:rsid w:val="00ED719F"/>
  </w:style>
  <w:style w:type="character" w:customStyle="1" w:styleId="apple-style-span">
    <w:name w:val="apple-style-span"/>
    <w:basedOn w:val="DefaultParagraphFont"/>
    <w:rsid w:val="003F12B4"/>
  </w:style>
  <w:style w:type="character" w:customStyle="1" w:styleId="apple-converted-space">
    <w:name w:val="apple-converted-space"/>
    <w:basedOn w:val="DefaultParagraphFont"/>
    <w:rsid w:val="003F12B4"/>
  </w:style>
  <w:style w:type="character" w:customStyle="1" w:styleId="il">
    <w:name w:val="il"/>
    <w:basedOn w:val="DefaultParagraphFont"/>
    <w:rsid w:val="003F12B4"/>
  </w:style>
  <w:style w:type="character" w:styleId="FollowedHyperlink">
    <w:name w:val="FollowedHyperlink"/>
    <w:basedOn w:val="DefaultParagraphFont"/>
    <w:rsid w:val="001D281B"/>
    <w:rPr>
      <w:color w:val="800080"/>
      <w:u w:val="single"/>
    </w:rPr>
  </w:style>
</w:styles>
</file>

<file path=word/webSettings.xml><?xml version="1.0" encoding="utf-8"?>
<w:webSettings xmlns:r="http://schemas.openxmlformats.org/officeDocument/2006/relationships" xmlns:w="http://schemas.openxmlformats.org/wordprocessingml/2006/main">
  <w:divs>
    <w:div w:id="19716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J:\mso_pro\Templates\edms_tmp_261486_note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97A2-D918-4AD4-B5AD-F568B231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edms_tmp_261486_note_report.dot</Template>
  <TotalTime>1</TotalTime>
  <Pages>13</Pages>
  <Words>1257</Words>
  <Characters>7170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Links>
    <vt:vector size="72" baseType="variant">
      <vt:variant>
        <vt:i4>2621481</vt:i4>
      </vt:variant>
      <vt:variant>
        <vt:i4>177</vt:i4>
      </vt:variant>
      <vt:variant>
        <vt:i4>0</vt:i4>
      </vt:variant>
      <vt:variant>
        <vt:i4>5</vt:i4>
      </vt:variant>
      <vt:variant>
        <vt:lpwstr>http://www.andersonpower.com/litlib/files.html/download/556</vt:lpwstr>
      </vt:variant>
      <vt:variant>
        <vt:lpwstr/>
      </vt:variant>
      <vt:variant>
        <vt:i4>4194311</vt:i4>
      </vt:variant>
      <vt:variant>
        <vt:i4>174</vt:i4>
      </vt:variant>
      <vt:variant>
        <vt:i4>0</vt:i4>
      </vt:variant>
      <vt:variant>
        <vt:i4>5</vt:i4>
      </vt:variant>
      <vt:variant>
        <vt:lpwstr>http://www.wesbellwireandcable.com/SJOOW.html</vt:lpwstr>
      </vt:variant>
      <vt:variant>
        <vt:lpwstr/>
      </vt:variant>
      <vt:variant>
        <vt:i4>7012429</vt:i4>
      </vt:variant>
      <vt:variant>
        <vt:i4>171</vt:i4>
      </vt:variant>
      <vt:variant>
        <vt:i4>0</vt:i4>
      </vt:variant>
      <vt:variant>
        <vt:i4>5</vt:i4>
      </vt:variant>
      <vt:variant>
        <vt:lpwstr>http://www.testmart.com/webdata/mfr_pdfs/TDKLAI/93507100revB.pdf</vt:lpwstr>
      </vt:variant>
      <vt:variant>
        <vt:lpwstr/>
      </vt:variant>
      <vt:variant>
        <vt:i4>7995413</vt:i4>
      </vt:variant>
      <vt:variant>
        <vt:i4>153</vt:i4>
      </vt:variant>
      <vt:variant>
        <vt:i4>0</vt:i4>
      </vt:variant>
      <vt:variant>
        <vt:i4>5</vt:i4>
      </vt:variant>
      <vt:variant>
        <vt:lpwstr>http://www.lemo.co.uk/product_files/LEMO_F_series.pdf</vt:lpwstr>
      </vt:variant>
      <vt:variant>
        <vt:lpwstr/>
      </vt:variant>
      <vt:variant>
        <vt:i4>4325470</vt:i4>
      </vt:variant>
      <vt:variant>
        <vt:i4>150</vt:i4>
      </vt:variant>
      <vt:variant>
        <vt:i4>0</vt:i4>
      </vt:variant>
      <vt:variant>
        <vt:i4>5</vt:i4>
      </vt:variant>
      <vt:variant>
        <vt:lpwstr>http://www.samtec.com/documents/webfiles/pdf/TOLC.PDF</vt:lpwstr>
      </vt:variant>
      <vt:variant>
        <vt:lpwstr/>
      </vt:variant>
      <vt:variant>
        <vt:i4>589840</vt:i4>
      </vt:variant>
      <vt:variant>
        <vt:i4>147</vt:i4>
      </vt:variant>
      <vt:variant>
        <vt:i4>0</vt:i4>
      </vt:variant>
      <vt:variant>
        <vt:i4>5</vt:i4>
      </vt:variant>
      <vt:variant>
        <vt:lpwstr>http://multimedia.3m.com/mws/mediawebserver?66666UuZjcFSLXTtMXMcmXF6EVuQEcuZgVs6EVs6E666666--</vt:lpwstr>
      </vt:variant>
      <vt:variant>
        <vt:lpwstr/>
      </vt:variant>
      <vt:variant>
        <vt:i4>4390936</vt:i4>
      </vt:variant>
      <vt:variant>
        <vt:i4>144</vt:i4>
      </vt:variant>
      <vt:variant>
        <vt:i4>0</vt:i4>
      </vt:variant>
      <vt:variant>
        <vt:i4>5</vt:i4>
      </vt:variant>
      <vt:variant>
        <vt:lpwstr>http://www.star.bnl.gov/public/trg/GeneralTrigger/Interfaces/trig-det.ps</vt:lpwstr>
      </vt:variant>
      <vt:variant>
        <vt:lpwstr/>
      </vt:variant>
      <vt:variant>
        <vt:i4>4194389</vt:i4>
      </vt:variant>
      <vt:variant>
        <vt:i4>141</vt:i4>
      </vt:variant>
      <vt:variant>
        <vt:i4>0</vt:i4>
      </vt:variant>
      <vt:variant>
        <vt:i4>5</vt:i4>
      </vt:variant>
      <vt:variant>
        <vt:lpwstr>http://www.sitech-bitdriver.com/products/Datasheets/2181.pdf</vt:lpwstr>
      </vt:variant>
      <vt:variant>
        <vt:lpwstr/>
      </vt:variant>
      <vt:variant>
        <vt:i4>7536752</vt:i4>
      </vt:variant>
      <vt:variant>
        <vt:i4>132</vt:i4>
      </vt:variant>
      <vt:variant>
        <vt:i4>0</vt:i4>
      </vt:variant>
      <vt:variant>
        <vt:i4>5</vt:i4>
      </vt:variant>
      <vt:variant>
        <vt:lpwstr>http://rnc.lbl.gov/hft/hardware/docs/Phase1/Phase-1_RDO_ladder.pdf</vt:lpwstr>
      </vt:variant>
      <vt:variant>
        <vt:lpwstr/>
      </vt:variant>
      <vt:variant>
        <vt:i4>1966085</vt:i4>
      </vt:variant>
      <vt:variant>
        <vt:i4>126</vt:i4>
      </vt:variant>
      <vt:variant>
        <vt:i4>0</vt:i4>
      </vt:variant>
      <vt:variant>
        <vt:i4>5</vt:i4>
      </vt:variant>
      <vt:variant>
        <vt:lpwstr>http://rnc.lbl.gov/hft/hardware/docs/Phase1/Phase-1_RDO_massterm.pdf</vt:lpwstr>
      </vt:variant>
      <vt:variant>
        <vt:lpwstr/>
      </vt:variant>
      <vt:variant>
        <vt:i4>327754</vt:i4>
      </vt:variant>
      <vt:variant>
        <vt:i4>117</vt:i4>
      </vt:variant>
      <vt:variant>
        <vt:i4>0</vt:i4>
      </vt:variant>
      <vt:variant>
        <vt:i4>5</vt:i4>
      </vt:variant>
      <vt:variant>
        <vt:lpwstr>http://rnc.lbl.gov/hft/hardware/docs/Phase1/Phase-1_RDO_v5motherboard.pdf</vt:lpwstr>
      </vt:variant>
      <vt:variant>
        <vt:lpwstr/>
      </vt:variant>
      <vt:variant>
        <vt:i4>3604515</vt:i4>
      </vt:variant>
      <vt:variant>
        <vt:i4>111</vt:i4>
      </vt:variant>
      <vt:variant>
        <vt:i4>0</vt:i4>
      </vt:variant>
      <vt:variant>
        <vt:i4>5</vt:i4>
      </vt:variant>
      <vt:variant>
        <vt:lpwstr>http://rnc.lbl.gov/hft/hardware/docs/Phase1/Phase-1_RDO_top.pdf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olcese Marco</dc:creator>
  <cp:lastModifiedBy>leo</cp:lastModifiedBy>
  <cp:revision>2</cp:revision>
  <cp:lastPrinted>2010-03-04T03:16:00Z</cp:lastPrinted>
  <dcterms:created xsi:type="dcterms:W3CDTF">2011-09-13T23:12:00Z</dcterms:created>
  <dcterms:modified xsi:type="dcterms:W3CDTF">2011-09-13T23:12:00Z</dcterms:modified>
</cp:coreProperties>
</file>